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防火负责人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登记表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40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40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负责区域: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8517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工作内容：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）定期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区域内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进行防火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巡查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，做好检查记录，及时消除火灾隐患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检查区域内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消防设施、器材并确保其完好有效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，对于损坏的消防器材或者不符合压力标准的灭火器向校保卫处反映。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）保证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区域内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疏散通道、安全出口畅通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）对于区域内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新建、扩建、改建及装饰装修工程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向校保卫处报备。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区域内发生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火灾事故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就近利用灭火器和消火栓扑灭，组织人员撤离，三分钟内扑灭不了火势及时选择拨打火警电话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119。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（6）部门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购买、储存、使用和销毁易燃易爆等危险品，应当按照国家有关规定严格管理、规范操作，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向校保卫处报备，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  <w:t>并制定应急处置预案和防范措施。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部门意见：                  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960" w:firstLineChars="29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签章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018EA"/>
    <w:rsid w:val="2A536188"/>
    <w:rsid w:val="382F30E7"/>
    <w:rsid w:val="618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2020-05-27T03:26:19Z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