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D0DF46">
      <w:pPr>
        <w:keepNext w:val="0"/>
        <w:keepLines w:val="0"/>
        <w:pageBreakBefore w:val="0"/>
        <w:kinsoku/>
        <w:wordWrap/>
        <w:overflowPunct/>
        <w:topLinePunct w:val="0"/>
        <w:autoSpaceDE/>
        <w:autoSpaceDN/>
        <w:bidi w:val="0"/>
        <w:adjustRightInd/>
        <w:snapToGrid/>
        <w:spacing w:line="520" w:lineRule="exact"/>
        <w:textAlignment w:val="auto"/>
        <w:rPr>
          <w:rFonts w:hint="eastAsia" w:ascii="方正黑体_GBK" w:eastAsia="方正黑体_GBK"/>
          <w:sz w:val="32"/>
          <w:szCs w:val="32"/>
          <w:lang w:eastAsia="zh-CN"/>
        </w:rPr>
      </w:pPr>
      <w:r>
        <w:rPr>
          <w:rFonts w:hint="eastAsia" w:ascii="方正黑体_GBK" w:eastAsia="方正黑体_GBK"/>
          <w:sz w:val="32"/>
          <w:szCs w:val="32"/>
        </w:rPr>
        <w:t>附件</w:t>
      </w:r>
      <w:r>
        <w:rPr>
          <w:rFonts w:hint="eastAsia" w:ascii="方正黑体_GBK" w:eastAsia="方正黑体_GBK"/>
          <w:sz w:val="32"/>
          <w:szCs w:val="32"/>
          <w:lang w:val="en-US" w:eastAsia="zh-CN"/>
        </w:rPr>
        <w:t>1</w:t>
      </w:r>
    </w:p>
    <w:p w14:paraId="56EE515B">
      <w:pPr>
        <w:keepNext w:val="0"/>
        <w:keepLines w:val="0"/>
        <w:pageBreakBefore w:val="0"/>
        <w:kinsoku/>
        <w:wordWrap/>
        <w:overflowPunct/>
        <w:topLinePunct w:val="0"/>
        <w:autoSpaceDE/>
        <w:autoSpaceDN/>
        <w:bidi w:val="0"/>
        <w:adjustRightInd/>
        <w:snapToGrid/>
        <w:spacing w:line="520" w:lineRule="exact"/>
        <w:textAlignment w:val="auto"/>
        <w:rPr>
          <w:rFonts w:ascii="方正黑体_GBK" w:eastAsia="方正黑体_GBK"/>
          <w:sz w:val="32"/>
          <w:szCs w:val="32"/>
        </w:rPr>
      </w:pPr>
    </w:p>
    <w:p w14:paraId="2A9633D7">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小标宋_GBK" w:hAnsi="宋体" w:eastAsia="方正小标宋_GBK"/>
          <w:sz w:val="44"/>
          <w:szCs w:val="44"/>
          <w:lang w:val="en-US" w:eastAsia="zh-CN"/>
        </w:rPr>
      </w:pPr>
      <w:r>
        <w:rPr>
          <w:rFonts w:hint="eastAsia" w:ascii="方正小标宋_GBK" w:hAnsi="宋体" w:eastAsia="方正小标宋_GBK"/>
          <w:sz w:val="44"/>
          <w:szCs w:val="44"/>
          <w:lang w:val="en-US" w:eastAsia="zh-CN"/>
        </w:rPr>
        <w:t>安徽省中小学生职业体验中心认定标准</w:t>
      </w:r>
    </w:p>
    <w:p w14:paraId="605336B1">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楷体" w:hAnsi="楷体" w:eastAsia="楷体" w:cs="楷体"/>
          <w:sz w:val="36"/>
          <w:szCs w:val="36"/>
          <w:lang w:val="en-US" w:eastAsia="zh-CN"/>
        </w:rPr>
      </w:pPr>
      <w:r>
        <w:rPr>
          <w:rFonts w:hint="eastAsia" w:ascii="楷体" w:hAnsi="楷体" w:eastAsia="楷体" w:cs="楷体"/>
          <w:sz w:val="36"/>
          <w:szCs w:val="36"/>
          <w:lang w:val="en-US" w:eastAsia="zh-CN"/>
        </w:rPr>
        <w:t>（试行）</w:t>
      </w:r>
    </w:p>
    <w:p w14:paraId="7791C2DD">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小标宋_GBK" w:hAnsi="宋体" w:eastAsia="方正小标宋_GBK"/>
          <w:sz w:val="44"/>
          <w:szCs w:val="44"/>
          <w:lang w:val="en-US" w:eastAsia="zh-CN"/>
        </w:rPr>
      </w:pPr>
    </w:p>
    <w:tbl>
      <w:tblPr>
        <w:tblStyle w:val="5"/>
        <w:tblW w:w="906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CellMar>
          <w:top w:w="15" w:type="dxa"/>
          <w:left w:w="15" w:type="dxa"/>
          <w:bottom w:w="15" w:type="dxa"/>
          <w:right w:w="15" w:type="dxa"/>
        </w:tblCellMar>
      </w:tblPr>
      <w:tblGrid>
        <w:gridCol w:w="1671"/>
        <w:gridCol w:w="7389"/>
      </w:tblGrid>
      <w:tr w14:paraId="751E10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506" w:hRule="atLeast"/>
          <w:tblHeader/>
          <w:jc w:val="center"/>
        </w:trPr>
        <w:tc>
          <w:tcPr>
            <w:tcW w:w="1671" w:type="dxa"/>
            <w:tcBorders>
              <w:tl2br w:val="nil"/>
              <w:tr2bl w:val="nil"/>
            </w:tcBorders>
            <w:shd w:val="clear" w:color="auto" w:fill="auto"/>
            <w:tcMar>
              <w:top w:w="20" w:type="dxa"/>
              <w:left w:w="20" w:type="dxa"/>
              <w:bottom w:w="0" w:type="dxa"/>
              <w:right w:w="20" w:type="dxa"/>
            </w:tcMar>
            <w:vAlign w:val="center"/>
          </w:tcPr>
          <w:p w14:paraId="3263FB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方正黑体_GBK" w:hAnsi="Calibri" w:eastAsia="方正黑体_GBK" w:cs="Times New Roman"/>
                <w:kern w:val="2"/>
                <w:sz w:val="28"/>
                <w:szCs w:val="28"/>
                <w:lang w:val="en-US" w:eastAsia="zh-CN" w:bidi="ar-SA"/>
              </w:rPr>
            </w:pPr>
            <w:r>
              <w:rPr>
                <w:rFonts w:hint="eastAsia" w:ascii="方正黑体_GBK" w:hAnsi="Calibri" w:eastAsia="方正黑体_GBK" w:cs="Times New Roman"/>
                <w:kern w:val="2"/>
                <w:sz w:val="28"/>
                <w:szCs w:val="28"/>
                <w:lang w:val="en-US" w:eastAsia="zh-CN" w:bidi="ar-SA"/>
              </w:rPr>
              <w:t>指标</w:t>
            </w:r>
            <w:r>
              <w:rPr>
                <w:rFonts w:hint="eastAsia" w:ascii="方正黑体_GBK" w:eastAsia="方正黑体_GBK" w:cs="Times New Roman"/>
                <w:kern w:val="2"/>
                <w:sz w:val="28"/>
                <w:szCs w:val="28"/>
                <w:lang w:val="en-US" w:eastAsia="zh-CN" w:bidi="ar-SA"/>
              </w:rPr>
              <w:t>名称</w:t>
            </w:r>
          </w:p>
        </w:tc>
        <w:tc>
          <w:tcPr>
            <w:tcW w:w="7389" w:type="dxa"/>
            <w:tcBorders>
              <w:tl2br w:val="nil"/>
              <w:tr2bl w:val="nil"/>
            </w:tcBorders>
            <w:shd w:val="clear" w:color="auto" w:fill="auto"/>
            <w:tcMar>
              <w:top w:w="20" w:type="dxa"/>
              <w:left w:w="20" w:type="dxa"/>
              <w:bottom w:w="0" w:type="dxa"/>
              <w:right w:w="20" w:type="dxa"/>
            </w:tcMar>
            <w:vAlign w:val="center"/>
          </w:tcPr>
          <w:p w14:paraId="00E1AA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方正黑体_GBK" w:hAnsi="Calibri" w:eastAsia="方正黑体_GBK" w:cs="Times New Roman"/>
                <w:kern w:val="2"/>
                <w:sz w:val="28"/>
                <w:szCs w:val="28"/>
                <w:lang w:val="en-US" w:eastAsia="zh-CN" w:bidi="ar-SA"/>
              </w:rPr>
            </w:pPr>
            <w:r>
              <w:rPr>
                <w:rFonts w:hint="eastAsia" w:ascii="方正黑体_GBK" w:hAnsi="Calibri" w:eastAsia="方正黑体_GBK" w:cs="Times New Roman"/>
                <w:kern w:val="2"/>
                <w:sz w:val="28"/>
                <w:szCs w:val="28"/>
                <w:lang w:val="en-US" w:eastAsia="zh-CN" w:bidi="ar-SA"/>
              </w:rPr>
              <w:t>指标内涵及要求</w:t>
            </w:r>
          </w:p>
        </w:tc>
      </w:tr>
      <w:tr w14:paraId="185E2F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4586" w:hRule="atLeast"/>
          <w:jc w:val="center"/>
        </w:trPr>
        <w:tc>
          <w:tcPr>
            <w:tcW w:w="1671" w:type="dxa"/>
            <w:tcBorders>
              <w:tl2br w:val="nil"/>
              <w:tr2bl w:val="nil"/>
            </w:tcBorders>
            <w:shd w:val="clear" w:color="auto" w:fill="auto"/>
            <w:tcMar>
              <w:top w:w="20" w:type="dxa"/>
              <w:left w:w="20" w:type="dxa"/>
              <w:bottom w:w="0" w:type="dxa"/>
              <w:right w:w="20" w:type="dxa"/>
            </w:tcMar>
            <w:vAlign w:val="center"/>
          </w:tcPr>
          <w:p w14:paraId="4E4CA6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一、功能定位</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lang w:val="en-US" w:eastAsia="zh-CN"/>
              </w:rPr>
              <w:t>10分</w:t>
            </w:r>
            <w:r>
              <w:rPr>
                <w:rFonts w:hint="eastAsia" w:ascii="方正仿宋_GBK" w:hAnsi="方正仿宋_GBK" w:eastAsia="方正仿宋_GBK" w:cs="方正仿宋_GBK"/>
                <w:color w:val="000000"/>
                <w:sz w:val="28"/>
                <w:szCs w:val="28"/>
                <w:lang w:eastAsia="zh-CN"/>
              </w:rPr>
              <w:t>）</w:t>
            </w:r>
          </w:p>
        </w:tc>
        <w:tc>
          <w:tcPr>
            <w:tcW w:w="7389" w:type="dxa"/>
            <w:tcBorders>
              <w:tl2br w:val="nil"/>
              <w:tr2bl w:val="nil"/>
            </w:tcBorders>
            <w:shd w:val="clear" w:color="auto" w:fill="auto"/>
            <w:tcMar>
              <w:top w:w="20" w:type="dxa"/>
              <w:left w:w="20" w:type="dxa"/>
              <w:bottom w:w="0" w:type="dxa"/>
              <w:right w:w="20" w:type="dxa"/>
            </w:tcMar>
            <w:vAlign w:val="center"/>
          </w:tcPr>
          <w:p w14:paraId="1A7633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50" w:lineRule="exact"/>
              <w:ind w:left="0" w:right="0"/>
              <w:jc w:val="both"/>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1.建设目标</w:t>
            </w:r>
          </w:p>
          <w:p w14:paraId="286202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50" w:lineRule="exact"/>
              <w:ind w:left="0" w:right="0"/>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（1）</w:t>
            </w:r>
            <w:bookmarkStart w:id="0" w:name="_GoBack"/>
            <w:bookmarkEnd w:id="0"/>
            <w:r>
              <w:rPr>
                <w:rFonts w:hint="eastAsia" w:ascii="方正仿宋_GBK" w:hAnsi="方正仿宋_GBK" w:eastAsia="方正仿宋_GBK" w:cs="方正仿宋_GBK"/>
                <w:sz w:val="28"/>
                <w:szCs w:val="28"/>
                <w:lang w:val="en-US" w:eastAsia="zh-CN"/>
              </w:rPr>
              <w:t>能提供真实的职业情境或模拟场景；能帮助学生培养职业兴趣和职业规划意识；能提升学生的职业技能和综合素养。</w:t>
            </w:r>
          </w:p>
          <w:p w14:paraId="6D95B1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50" w:lineRule="exact"/>
              <w:ind w:left="0" w:right="0"/>
              <w:jc w:val="both"/>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（2）普职融通、社会参与，有3所以上普通中小学参与，有1所以上企业支持</w:t>
            </w:r>
            <w:r>
              <w:rPr>
                <w:rFonts w:hint="eastAsia" w:ascii="方正仿宋_GBK" w:hAnsi="方正仿宋_GBK" w:eastAsia="方正仿宋_GBK" w:cs="方正仿宋_GBK"/>
                <w:color w:val="000000"/>
                <w:sz w:val="28"/>
                <w:szCs w:val="28"/>
                <w:lang w:eastAsia="zh-CN"/>
              </w:rPr>
              <w:t>。</w:t>
            </w:r>
          </w:p>
          <w:p w14:paraId="21E983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50" w:lineRule="exact"/>
              <w:ind w:left="0" w:right="0"/>
              <w:jc w:val="both"/>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2.建设要求</w:t>
            </w:r>
          </w:p>
          <w:p w14:paraId="557DDB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50" w:lineRule="exact"/>
              <w:ind w:left="0" w:right="0"/>
              <w:jc w:val="both"/>
              <w:textAlignment w:val="auto"/>
              <w:rPr>
                <w:rFonts w:hint="default"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8"/>
                <w:szCs w:val="28"/>
                <w:lang w:val="en-US" w:eastAsia="zh-CN"/>
              </w:rPr>
              <w:t>1</w:t>
            </w: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8"/>
                <w:szCs w:val="28"/>
                <w:lang w:val="en-US" w:eastAsia="zh-CN"/>
              </w:rPr>
              <w:t>职业体验中心依托专业应为本校重点发展优势专业。</w:t>
            </w:r>
          </w:p>
          <w:p w14:paraId="487AF9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50" w:lineRule="exact"/>
              <w:ind w:left="0" w:right="0"/>
              <w:jc w:val="both"/>
              <w:textAlignment w:val="auto"/>
              <w:rPr>
                <w:rFonts w:hint="eastAsia"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lang w:val="en-US" w:eastAsia="zh-CN"/>
              </w:rPr>
              <w:t>2</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lang w:val="en-US" w:eastAsia="zh-CN"/>
              </w:rPr>
              <w:t>具备符合职业特点的场地空间，配备先进、实用的设备和工具。</w:t>
            </w:r>
          </w:p>
          <w:p w14:paraId="2E3D59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50" w:lineRule="exact"/>
              <w:ind w:left="0" w:right="0"/>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lang w:val="en-US" w:eastAsia="zh-CN"/>
              </w:rPr>
              <w:t>（3）能满足中小学生不同层次的职业体验要求；能面向中小学</w:t>
            </w:r>
            <w:r>
              <w:rPr>
                <w:rFonts w:hint="eastAsia" w:ascii="方正仿宋_GBK" w:hAnsi="方正仿宋_GBK" w:eastAsia="方正仿宋_GBK" w:cs="方正仿宋_GBK"/>
                <w:color w:val="000000"/>
                <w:spacing w:val="-6"/>
                <w:sz w:val="28"/>
                <w:szCs w:val="28"/>
              </w:rPr>
              <w:t>生开展不同层次的职业启蒙教育；能兼顾专业教学、技能培训、职业技能鉴定、继续教育等方面的需求</w:t>
            </w:r>
            <w:r>
              <w:rPr>
                <w:rFonts w:hint="eastAsia" w:ascii="方正仿宋_GBK" w:hAnsi="方正仿宋_GBK" w:eastAsia="方正仿宋_GBK" w:cs="方正仿宋_GBK"/>
                <w:color w:val="000000"/>
                <w:spacing w:val="-6"/>
                <w:sz w:val="28"/>
                <w:szCs w:val="28"/>
                <w:lang w:eastAsia="zh-CN"/>
              </w:rPr>
              <w:t>。</w:t>
            </w:r>
          </w:p>
        </w:tc>
      </w:tr>
      <w:tr w14:paraId="2BC89D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5324" w:hRule="atLeast"/>
          <w:jc w:val="center"/>
        </w:trPr>
        <w:tc>
          <w:tcPr>
            <w:tcW w:w="1671" w:type="dxa"/>
            <w:tcBorders>
              <w:tl2br w:val="nil"/>
              <w:tr2bl w:val="nil"/>
            </w:tcBorders>
            <w:shd w:val="clear" w:color="auto" w:fill="auto"/>
            <w:tcMar>
              <w:top w:w="20" w:type="dxa"/>
              <w:left w:w="20" w:type="dxa"/>
              <w:bottom w:w="0" w:type="dxa"/>
              <w:right w:w="20" w:type="dxa"/>
            </w:tcMar>
            <w:vAlign w:val="center"/>
          </w:tcPr>
          <w:p w14:paraId="38C301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二、设备设施及环境布置</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lang w:val="en-US" w:eastAsia="zh-CN"/>
              </w:rPr>
              <w:t>25分</w:t>
            </w:r>
            <w:r>
              <w:rPr>
                <w:rFonts w:hint="eastAsia" w:ascii="方正仿宋_GBK" w:hAnsi="方正仿宋_GBK" w:eastAsia="方正仿宋_GBK" w:cs="方正仿宋_GBK"/>
                <w:color w:val="000000"/>
                <w:sz w:val="28"/>
                <w:szCs w:val="28"/>
                <w:lang w:eastAsia="zh-CN"/>
              </w:rPr>
              <w:t>）</w:t>
            </w:r>
          </w:p>
        </w:tc>
        <w:tc>
          <w:tcPr>
            <w:tcW w:w="7389" w:type="dxa"/>
            <w:tcBorders>
              <w:tl2br w:val="nil"/>
              <w:tr2bl w:val="nil"/>
            </w:tcBorders>
            <w:shd w:val="clear" w:color="auto" w:fill="auto"/>
            <w:tcMar>
              <w:top w:w="20" w:type="dxa"/>
              <w:left w:w="20" w:type="dxa"/>
              <w:bottom w:w="0" w:type="dxa"/>
              <w:right w:w="20" w:type="dxa"/>
            </w:tcMar>
            <w:vAlign w:val="center"/>
          </w:tcPr>
          <w:p w14:paraId="4FD798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50" w:lineRule="exact"/>
              <w:ind w:left="0" w:right="0"/>
              <w:jc w:val="both"/>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1.基本要求</w:t>
            </w:r>
          </w:p>
          <w:p w14:paraId="472DF7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50" w:lineRule="exact"/>
              <w:ind w:left="0" w:right="0"/>
              <w:jc w:val="both"/>
              <w:textAlignment w:val="auto"/>
              <w:rPr>
                <w:rFonts w:hint="eastAsia" w:ascii="方正仿宋_GBK" w:hAnsi="方正仿宋_GBK" w:eastAsia="方正仿宋_GBK" w:cs="方正仿宋_GBK"/>
                <w:color w:val="000000"/>
                <w:sz w:val="28"/>
                <w:szCs w:val="28"/>
                <w:lang w:eastAsia="zh-CN"/>
              </w:rPr>
            </w:pPr>
            <w:r>
              <w:rPr>
                <w:rFonts w:hint="eastAsia" w:ascii="方正仿宋_GBK" w:hAnsi="方正仿宋_GBK" w:eastAsia="方正仿宋_GBK" w:cs="方正仿宋_GBK"/>
                <w:color w:val="000000"/>
                <w:sz w:val="28"/>
                <w:szCs w:val="28"/>
                <w:lang w:eastAsia="zh-CN"/>
              </w:rPr>
              <w:t>（1）建筑面积不小于</w:t>
            </w:r>
            <w:r>
              <w:rPr>
                <w:rFonts w:hint="eastAsia" w:ascii="方正仿宋_GBK" w:hAnsi="方正仿宋_GBK" w:eastAsia="方正仿宋_GBK" w:cs="方正仿宋_GBK"/>
                <w:color w:val="000000"/>
                <w:sz w:val="28"/>
                <w:szCs w:val="28"/>
                <w:lang w:val="en-US" w:eastAsia="zh-CN"/>
              </w:rPr>
              <w:t>1</w:t>
            </w:r>
            <w:r>
              <w:rPr>
                <w:rFonts w:hint="eastAsia" w:ascii="方正仿宋_GBK" w:hAnsi="方正仿宋_GBK" w:eastAsia="方正仿宋_GBK" w:cs="方正仿宋_GBK"/>
                <w:color w:val="000000"/>
                <w:sz w:val="28"/>
                <w:szCs w:val="28"/>
                <w:lang w:eastAsia="zh-CN"/>
              </w:rPr>
              <w:t>000平方米，</w:t>
            </w:r>
            <w:r>
              <w:rPr>
                <w:rFonts w:hint="eastAsia" w:ascii="方正仿宋_GBK" w:hAnsi="方正仿宋_GBK" w:eastAsia="方正仿宋_GBK" w:cs="方正仿宋_GBK"/>
                <w:color w:val="000000"/>
                <w:sz w:val="28"/>
                <w:szCs w:val="28"/>
                <w:lang w:val="en-US" w:eastAsia="zh-CN"/>
              </w:rPr>
              <w:t>设有职业体验区、教学区和展示区，各区划分明确，便于学生流动和教师管理</w:t>
            </w:r>
            <w:r>
              <w:rPr>
                <w:rFonts w:hint="eastAsia" w:ascii="方正仿宋_GBK" w:hAnsi="方正仿宋_GBK" w:eastAsia="方正仿宋_GBK" w:cs="方正仿宋_GBK"/>
                <w:color w:val="000000"/>
                <w:sz w:val="28"/>
                <w:szCs w:val="28"/>
                <w:lang w:eastAsia="zh-CN"/>
              </w:rPr>
              <w:t>。</w:t>
            </w:r>
          </w:p>
          <w:p w14:paraId="235B79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50" w:lineRule="exact"/>
              <w:ind w:left="0" w:right="0"/>
              <w:jc w:val="both"/>
              <w:textAlignment w:val="auto"/>
              <w:rPr>
                <w:rFonts w:hint="eastAsia" w:ascii="方正仿宋_GBK" w:hAnsi="方正仿宋_GBK" w:eastAsia="方正仿宋_GBK" w:cs="方正仿宋_GBK"/>
                <w:color w:val="000000"/>
                <w:sz w:val="28"/>
                <w:szCs w:val="28"/>
                <w:lang w:eastAsia="zh-CN"/>
              </w:rPr>
            </w:pPr>
            <w:r>
              <w:rPr>
                <w:rFonts w:hint="eastAsia" w:ascii="方正仿宋_GBK" w:hAnsi="方正仿宋_GBK" w:eastAsia="方正仿宋_GBK" w:cs="方正仿宋_GBK"/>
                <w:color w:val="000000"/>
                <w:sz w:val="28"/>
                <w:szCs w:val="28"/>
                <w:lang w:eastAsia="zh-CN"/>
              </w:rPr>
              <w:t>（2）</w:t>
            </w:r>
            <w:r>
              <w:rPr>
                <w:rFonts w:hint="eastAsia" w:ascii="方正仿宋_GBK" w:hAnsi="方正仿宋_GBK" w:eastAsia="方正仿宋_GBK" w:cs="方正仿宋_GBK"/>
                <w:color w:val="000000"/>
                <w:sz w:val="28"/>
                <w:szCs w:val="28"/>
                <w:lang w:val="en-US" w:eastAsia="zh-CN"/>
              </w:rPr>
              <w:t>场地和设备能满足每次不低于100名中小</w:t>
            </w:r>
            <w:r>
              <w:rPr>
                <w:rFonts w:hint="eastAsia" w:ascii="方正仿宋_GBK" w:hAnsi="方正仿宋_GBK" w:eastAsia="方正仿宋_GBK" w:cs="方正仿宋_GBK"/>
                <w:color w:val="000000"/>
                <w:sz w:val="28"/>
                <w:szCs w:val="28"/>
                <w:lang w:eastAsia="zh-CN"/>
              </w:rPr>
              <w:t>学生</w:t>
            </w:r>
            <w:r>
              <w:rPr>
                <w:rFonts w:hint="eastAsia" w:ascii="方正仿宋_GBK" w:hAnsi="方正仿宋_GBK" w:eastAsia="方正仿宋_GBK" w:cs="方正仿宋_GBK"/>
                <w:color w:val="000000"/>
                <w:sz w:val="28"/>
                <w:szCs w:val="28"/>
                <w:lang w:val="en-US" w:eastAsia="zh-CN"/>
              </w:rPr>
              <w:t>开展</w:t>
            </w:r>
            <w:r>
              <w:rPr>
                <w:rFonts w:hint="eastAsia" w:ascii="方正仿宋_GBK" w:hAnsi="方正仿宋_GBK" w:eastAsia="方正仿宋_GBK" w:cs="方正仿宋_GBK"/>
                <w:color w:val="000000"/>
                <w:sz w:val="28"/>
                <w:szCs w:val="28"/>
                <w:lang w:eastAsia="zh-CN"/>
              </w:rPr>
              <w:t>职业体验。</w:t>
            </w:r>
          </w:p>
          <w:p w14:paraId="50E8E5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50" w:lineRule="exact"/>
              <w:ind w:left="0" w:right="0"/>
              <w:jc w:val="both"/>
              <w:textAlignment w:val="auto"/>
              <w:rPr>
                <w:rFonts w:hint="default"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2.</w:t>
            </w:r>
            <w:r>
              <w:rPr>
                <w:rFonts w:hint="eastAsia" w:ascii="方正仿宋_GBK" w:hAnsi="方正仿宋_GBK" w:eastAsia="方正仿宋_GBK" w:cs="方正仿宋_GBK"/>
                <w:color w:val="000000"/>
                <w:sz w:val="28"/>
                <w:szCs w:val="28"/>
              </w:rPr>
              <w:t>环境布置</w:t>
            </w:r>
            <w:r>
              <w:rPr>
                <w:rFonts w:hint="eastAsia" w:ascii="方正仿宋_GBK" w:hAnsi="方正仿宋_GBK" w:eastAsia="方正仿宋_GBK" w:cs="方正仿宋_GBK"/>
                <w:color w:val="000000"/>
                <w:sz w:val="28"/>
                <w:szCs w:val="28"/>
                <w:lang w:val="en-US" w:eastAsia="zh-CN"/>
              </w:rPr>
              <w:t>与安全设施</w:t>
            </w:r>
          </w:p>
          <w:p w14:paraId="012A07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50" w:lineRule="exact"/>
              <w:ind w:left="0" w:right="0"/>
              <w:jc w:val="both"/>
              <w:textAlignment w:val="auto"/>
              <w:rPr>
                <w:rFonts w:hint="eastAsia" w:ascii="方正仿宋_GBK" w:hAnsi="方正仿宋_GBK" w:eastAsia="方正仿宋_GBK" w:cs="方正仿宋_GBK"/>
                <w:color w:val="000000"/>
                <w:sz w:val="28"/>
                <w:szCs w:val="28"/>
                <w:lang w:eastAsia="zh-CN"/>
              </w:rPr>
            </w:pP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lang w:val="en-US" w:eastAsia="zh-CN"/>
              </w:rPr>
              <w:t>1</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rPr>
              <w:t>创设与所体验的职业相匹配的人文环境、工作环境、卫生环境</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lang w:val="en-US" w:eastAsia="zh-CN"/>
              </w:rPr>
              <w:t>以增强职业体验的真实感</w:t>
            </w:r>
            <w:r>
              <w:rPr>
                <w:rFonts w:hint="eastAsia" w:ascii="方正仿宋_GBK" w:hAnsi="方正仿宋_GBK" w:eastAsia="方正仿宋_GBK" w:cs="方正仿宋_GBK"/>
                <w:color w:val="000000"/>
                <w:sz w:val="28"/>
                <w:szCs w:val="28"/>
                <w:lang w:eastAsia="zh-CN"/>
              </w:rPr>
              <w:t>。</w:t>
            </w:r>
          </w:p>
          <w:p w14:paraId="24E7F2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50" w:lineRule="exact"/>
              <w:ind w:left="0" w:right="0"/>
              <w:jc w:val="both"/>
              <w:textAlignment w:val="auto"/>
              <w:rPr>
                <w:rFonts w:hint="eastAsia" w:ascii="方正仿宋_GBK" w:hAnsi="方正仿宋_GBK" w:eastAsia="方正仿宋_GBK" w:cs="方正仿宋_GBK"/>
                <w:color w:val="000000"/>
                <w:sz w:val="28"/>
                <w:szCs w:val="28"/>
                <w:lang w:eastAsia="zh-CN"/>
              </w:rPr>
            </w:pP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lang w:val="en-US" w:eastAsia="zh-CN"/>
              </w:rPr>
              <w:t>2</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rPr>
              <w:t>注重职业操作规范、职业素养以及工匠精神教育</w:t>
            </w:r>
            <w:r>
              <w:rPr>
                <w:rFonts w:hint="eastAsia" w:ascii="方正仿宋_GBK" w:hAnsi="方正仿宋_GBK" w:eastAsia="方正仿宋_GBK" w:cs="方正仿宋_GBK"/>
                <w:color w:val="000000"/>
                <w:sz w:val="28"/>
                <w:szCs w:val="28"/>
                <w:lang w:eastAsia="zh-CN"/>
              </w:rPr>
              <w:t>。</w:t>
            </w:r>
          </w:p>
          <w:p w14:paraId="648496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50" w:lineRule="exact"/>
              <w:ind w:left="0" w:right="0"/>
              <w:jc w:val="both"/>
              <w:textAlignment w:val="auto"/>
              <w:rPr>
                <w:rFonts w:hint="eastAsia" w:ascii="方正仿宋_GBK" w:hAnsi="方正仿宋_GBK" w:eastAsia="方正仿宋_GBK" w:cs="方正仿宋_GBK"/>
                <w:color w:val="000000"/>
                <w:sz w:val="28"/>
                <w:szCs w:val="28"/>
                <w:lang w:eastAsia="zh-CN"/>
              </w:rPr>
            </w:pP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lang w:val="en-US" w:eastAsia="zh-CN"/>
              </w:rPr>
              <w:t>3</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rPr>
              <w:t>防挤、防火、防盗、防爆、防破坏等基本安全设施设备符合相关规定，疏散通道安全、合理，配备视频监控系统；工科类的职业体验中心可能产生的废气、废液、废渣和粉尘的处理、噪音对周边的影响等符合环保要求</w:t>
            </w:r>
            <w:r>
              <w:rPr>
                <w:rFonts w:hint="eastAsia" w:ascii="方正仿宋_GBK" w:hAnsi="方正仿宋_GBK" w:eastAsia="方正仿宋_GBK" w:cs="方正仿宋_GBK"/>
                <w:color w:val="000000"/>
                <w:sz w:val="28"/>
                <w:szCs w:val="28"/>
                <w:lang w:eastAsia="zh-CN"/>
              </w:rPr>
              <w:t>。</w:t>
            </w:r>
          </w:p>
          <w:p w14:paraId="20A244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50" w:lineRule="exact"/>
              <w:ind w:left="0" w:right="0"/>
              <w:jc w:val="both"/>
              <w:textAlignment w:val="auto"/>
              <w:rPr>
                <w:rFonts w:hint="eastAsia" w:ascii="方正仿宋_GBK" w:hAnsi="方正仿宋_GBK" w:eastAsia="方正仿宋_GBK" w:cs="方正仿宋_GBK"/>
                <w:color w:val="000000"/>
                <w:sz w:val="28"/>
                <w:szCs w:val="28"/>
                <w:lang w:eastAsia="zh-CN"/>
              </w:rPr>
            </w:pPr>
            <w:r>
              <w:rPr>
                <w:rFonts w:hint="eastAsia" w:ascii="方正仿宋_GBK" w:hAnsi="方正仿宋_GBK" w:eastAsia="方正仿宋_GBK" w:cs="方正仿宋_GBK"/>
                <w:color w:val="000000"/>
                <w:sz w:val="28"/>
                <w:szCs w:val="28"/>
              </w:rPr>
              <w:t>（</w:t>
            </w:r>
            <w:r>
              <w:rPr>
                <w:rFonts w:hint="eastAsia" w:ascii="方正仿宋_GBK" w:hAnsi="方正仿宋_GBK" w:eastAsia="方正仿宋_GBK" w:cs="方正仿宋_GBK"/>
                <w:color w:val="000000"/>
                <w:sz w:val="28"/>
                <w:szCs w:val="28"/>
                <w:lang w:val="en-US" w:eastAsia="zh-CN"/>
              </w:rPr>
              <w:t>4</w:t>
            </w:r>
            <w:r>
              <w:rPr>
                <w:rFonts w:hint="eastAsia" w:ascii="方正仿宋_GBK" w:hAnsi="方正仿宋_GBK" w:eastAsia="方正仿宋_GBK" w:cs="方正仿宋_GBK"/>
                <w:color w:val="000000"/>
                <w:sz w:val="28"/>
                <w:szCs w:val="28"/>
              </w:rPr>
              <w:t>）有满足职业要求的通风、照明、控温、控湿等设施设备；水、电、气等管道布局合理、规范、安全、便于检修</w:t>
            </w:r>
            <w:r>
              <w:rPr>
                <w:rFonts w:hint="eastAsia" w:ascii="方正仿宋_GBK" w:hAnsi="方正仿宋_GBK" w:eastAsia="方正仿宋_GBK" w:cs="方正仿宋_GBK"/>
                <w:color w:val="000000"/>
                <w:sz w:val="28"/>
                <w:szCs w:val="28"/>
                <w:lang w:eastAsia="zh-CN"/>
              </w:rPr>
              <w:t>。</w:t>
            </w:r>
          </w:p>
        </w:tc>
      </w:tr>
      <w:tr w14:paraId="05158A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23" w:hRule="atLeast"/>
          <w:jc w:val="center"/>
        </w:trPr>
        <w:tc>
          <w:tcPr>
            <w:tcW w:w="1671" w:type="dxa"/>
            <w:tcBorders>
              <w:tl2br w:val="nil"/>
              <w:tr2bl w:val="nil"/>
            </w:tcBorders>
            <w:shd w:val="clear" w:color="auto" w:fill="auto"/>
            <w:tcMar>
              <w:top w:w="20" w:type="dxa"/>
              <w:left w:w="20" w:type="dxa"/>
              <w:bottom w:w="0" w:type="dxa"/>
              <w:right w:w="20" w:type="dxa"/>
            </w:tcMar>
            <w:vAlign w:val="center"/>
          </w:tcPr>
          <w:p w14:paraId="7F5450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三、课程建设</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lang w:val="en-US" w:eastAsia="zh-CN"/>
              </w:rPr>
              <w:t>20分</w:t>
            </w:r>
            <w:r>
              <w:rPr>
                <w:rFonts w:hint="eastAsia" w:ascii="方正仿宋_GBK" w:hAnsi="方正仿宋_GBK" w:eastAsia="方正仿宋_GBK" w:cs="方正仿宋_GBK"/>
                <w:color w:val="000000"/>
                <w:sz w:val="28"/>
                <w:szCs w:val="28"/>
                <w:lang w:eastAsia="zh-CN"/>
              </w:rPr>
              <w:t>）</w:t>
            </w:r>
          </w:p>
        </w:tc>
        <w:tc>
          <w:tcPr>
            <w:tcW w:w="7389" w:type="dxa"/>
            <w:tcBorders>
              <w:tl2br w:val="nil"/>
              <w:tr2bl w:val="nil"/>
            </w:tcBorders>
            <w:shd w:val="clear" w:color="auto" w:fill="auto"/>
            <w:tcMar>
              <w:top w:w="20" w:type="dxa"/>
              <w:left w:w="20" w:type="dxa"/>
              <w:bottom w:w="0" w:type="dxa"/>
              <w:right w:w="20" w:type="dxa"/>
            </w:tcMar>
            <w:vAlign w:val="center"/>
          </w:tcPr>
          <w:p w14:paraId="160EEE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50" w:lineRule="exact"/>
              <w:ind w:left="0" w:right="0"/>
              <w:jc w:val="both"/>
              <w:textAlignment w:val="auto"/>
              <w:rPr>
                <w:rFonts w:hint="eastAsia"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1.建设目标</w:t>
            </w:r>
          </w:p>
          <w:p w14:paraId="6F7433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50" w:lineRule="exact"/>
              <w:ind w:left="0" w:right="0"/>
              <w:jc w:val="both"/>
              <w:textAlignment w:val="auto"/>
              <w:rPr>
                <w:rFonts w:hint="default"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rPr>
              <w:t>以完整的职业项目分析、工作任务分析、工作过程分析、职业能力分析为依据，依据中小学不同的体验对象，区别建</w:t>
            </w:r>
            <w:r>
              <w:rPr>
                <w:rFonts w:hint="eastAsia" w:ascii="方正仿宋_GBK" w:hAnsi="方正仿宋_GBK" w:eastAsia="方正仿宋_GBK" w:cs="方正仿宋_GBK"/>
                <w:color w:val="000000"/>
                <w:sz w:val="28"/>
                <w:szCs w:val="28"/>
                <w:lang w:val="en-US" w:eastAsia="zh-CN"/>
              </w:rPr>
              <w:t>设启蒙课程、体验课程和实训课程。</w:t>
            </w:r>
          </w:p>
          <w:p w14:paraId="655B29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50" w:lineRule="exact"/>
              <w:ind w:left="0" w:right="0"/>
              <w:jc w:val="both"/>
              <w:textAlignment w:val="auto"/>
              <w:rPr>
                <w:rFonts w:hint="default"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2.建设要求</w:t>
            </w:r>
          </w:p>
          <w:p w14:paraId="6CA6CE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50" w:lineRule="exact"/>
              <w:ind w:left="0" w:right="0"/>
              <w:jc w:val="both"/>
              <w:textAlignment w:val="auto"/>
              <w:rPr>
                <w:rFonts w:hint="eastAsia"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（1）需建设3门以上同一职业的启蒙课程，附有</w:t>
            </w:r>
            <w:r>
              <w:rPr>
                <w:rFonts w:hint="eastAsia" w:ascii="方正仿宋_GBK" w:hAnsi="方正仿宋_GBK" w:eastAsia="方正仿宋_GBK" w:cs="方正仿宋_GBK"/>
                <w:color w:val="000000"/>
                <w:sz w:val="28"/>
                <w:szCs w:val="28"/>
              </w:rPr>
              <w:t>向</w:t>
            </w:r>
            <w:r>
              <w:rPr>
                <w:rFonts w:hint="eastAsia" w:ascii="方正仿宋_GBK" w:hAnsi="方正仿宋_GBK" w:eastAsia="方正仿宋_GBK" w:cs="方正仿宋_GBK"/>
                <w:color w:val="000000"/>
                <w:sz w:val="28"/>
                <w:szCs w:val="28"/>
                <w:lang w:val="en-US" w:eastAsia="zh-CN"/>
              </w:rPr>
              <w:t>明确的课程标准、教案和讲义等。</w:t>
            </w:r>
          </w:p>
          <w:p w14:paraId="36DE64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50" w:lineRule="exact"/>
              <w:ind w:left="0" w:right="0"/>
              <w:jc w:val="both"/>
              <w:textAlignment w:val="auto"/>
              <w:rPr>
                <w:rFonts w:hint="default"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（2）体验课程</w:t>
            </w:r>
            <w:r>
              <w:rPr>
                <w:rFonts w:hint="eastAsia" w:ascii="方正仿宋_GBK" w:hAnsi="方正仿宋_GBK" w:eastAsia="方正仿宋_GBK" w:cs="方正仿宋_GBK"/>
                <w:color w:val="000000"/>
                <w:sz w:val="28"/>
                <w:szCs w:val="28"/>
              </w:rPr>
              <w:t>标准科学，流程合理、规范，</w:t>
            </w:r>
            <w:r>
              <w:rPr>
                <w:rFonts w:hint="eastAsia" w:ascii="方正仿宋_GBK" w:hAnsi="方正仿宋_GBK" w:eastAsia="方正仿宋_GBK" w:cs="方正仿宋_GBK"/>
                <w:color w:val="000000"/>
                <w:sz w:val="28"/>
                <w:szCs w:val="28"/>
                <w:lang w:val="en-US" w:eastAsia="zh-CN"/>
              </w:rPr>
              <w:t>注重项目的多样性和可操作性，能激发体验者兴趣，</w:t>
            </w:r>
            <w:r>
              <w:rPr>
                <w:rFonts w:hint="eastAsia" w:ascii="方正仿宋_GBK" w:hAnsi="方正仿宋_GBK" w:eastAsia="方正仿宋_GBK" w:cs="方正仿宋_GBK"/>
                <w:color w:val="000000"/>
                <w:sz w:val="28"/>
                <w:szCs w:val="28"/>
              </w:rPr>
              <w:t>能对</w:t>
            </w:r>
            <w:r>
              <w:rPr>
                <w:rFonts w:hint="eastAsia" w:ascii="方正仿宋_GBK" w:hAnsi="方正仿宋_GBK" w:eastAsia="方正仿宋_GBK" w:cs="方正仿宋_GBK"/>
                <w:color w:val="000000"/>
                <w:sz w:val="28"/>
                <w:szCs w:val="28"/>
                <w:lang w:val="en-US" w:eastAsia="zh-CN"/>
              </w:rPr>
              <w:t>体验者</w:t>
            </w:r>
            <w:r>
              <w:rPr>
                <w:rFonts w:hint="eastAsia" w:ascii="方正仿宋_GBK" w:hAnsi="方正仿宋_GBK" w:eastAsia="方正仿宋_GBK" w:cs="方正仿宋_GBK"/>
                <w:color w:val="000000"/>
                <w:sz w:val="28"/>
                <w:szCs w:val="28"/>
              </w:rPr>
              <w:t>进行过程考核和综合能力测评</w:t>
            </w:r>
            <w:r>
              <w:rPr>
                <w:rFonts w:hint="eastAsia" w:ascii="方正仿宋_GBK" w:hAnsi="方正仿宋_GBK" w:eastAsia="方正仿宋_GBK" w:cs="方正仿宋_GBK"/>
                <w:color w:val="000000"/>
                <w:sz w:val="28"/>
                <w:szCs w:val="28"/>
                <w:lang w:eastAsia="zh-CN"/>
              </w:rPr>
              <w:t>。</w:t>
            </w:r>
          </w:p>
          <w:p w14:paraId="192D4B6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50" w:lineRule="exact"/>
              <w:ind w:left="0" w:right="0"/>
              <w:jc w:val="both"/>
              <w:textAlignment w:val="auto"/>
              <w:rPr>
                <w:rFonts w:hint="eastAsia" w:ascii="方正仿宋_GBK" w:hAnsi="方正仿宋_GBK" w:eastAsia="方正仿宋_GBK" w:cs="方正仿宋_GBK"/>
                <w:color w:val="000000"/>
                <w:sz w:val="28"/>
                <w:szCs w:val="28"/>
                <w:lang w:eastAsia="zh-CN"/>
              </w:rPr>
            </w:pPr>
            <w:r>
              <w:rPr>
                <w:rFonts w:hint="eastAsia" w:ascii="方正仿宋_GBK" w:hAnsi="方正仿宋_GBK" w:eastAsia="方正仿宋_GBK" w:cs="方正仿宋_GBK"/>
                <w:color w:val="000000"/>
                <w:sz w:val="28"/>
                <w:szCs w:val="28"/>
                <w:lang w:val="en-US" w:eastAsia="zh-CN"/>
              </w:rPr>
              <w:t>3.</w:t>
            </w:r>
            <w:r>
              <w:rPr>
                <w:rFonts w:hint="eastAsia" w:ascii="方正仿宋_GBK" w:hAnsi="方正仿宋_GBK" w:eastAsia="方正仿宋_GBK" w:cs="方正仿宋_GBK"/>
                <w:color w:val="000000"/>
                <w:sz w:val="28"/>
                <w:szCs w:val="28"/>
              </w:rPr>
              <w:t>有指向明确的职业</w:t>
            </w:r>
            <w:r>
              <w:rPr>
                <w:rFonts w:hint="eastAsia" w:ascii="方正仿宋_GBK" w:hAnsi="方正仿宋_GBK" w:eastAsia="方正仿宋_GBK" w:cs="方正仿宋_GBK"/>
                <w:sz w:val="30"/>
                <w:szCs w:val="30"/>
                <w:lang w:val="en-US" w:eastAsia="zh-CN"/>
              </w:rPr>
              <w:t>启蒙（体验）</w:t>
            </w:r>
            <w:r>
              <w:rPr>
                <w:rFonts w:hint="eastAsia" w:ascii="方正仿宋_GBK" w:hAnsi="方正仿宋_GBK" w:eastAsia="方正仿宋_GBK" w:cs="方正仿宋_GBK"/>
                <w:color w:val="000000"/>
                <w:sz w:val="28"/>
                <w:szCs w:val="28"/>
              </w:rPr>
              <w:t>课程</w:t>
            </w:r>
            <w:r>
              <w:rPr>
                <w:rFonts w:hint="eastAsia" w:ascii="方正仿宋_GBK" w:hAnsi="方正仿宋_GBK" w:eastAsia="方正仿宋_GBK" w:cs="方正仿宋_GBK"/>
                <w:color w:val="000000"/>
                <w:sz w:val="28"/>
                <w:szCs w:val="28"/>
                <w:lang w:val="en-US" w:eastAsia="zh-CN"/>
              </w:rPr>
              <w:t>标准</w:t>
            </w:r>
            <w:r>
              <w:rPr>
                <w:rFonts w:hint="eastAsia" w:ascii="方正仿宋_GBK" w:hAnsi="方正仿宋_GBK" w:eastAsia="方正仿宋_GBK" w:cs="方正仿宋_GBK"/>
                <w:color w:val="000000"/>
                <w:sz w:val="28"/>
                <w:szCs w:val="28"/>
              </w:rPr>
              <w:t>、讲义</w:t>
            </w:r>
            <w:r>
              <w:rPr>
                <w:rFonts w:hint="eastAsia" w:ascii="方正仿宋_GBK" w:hAnsi="方正仿宋_GBK" w:eastAsia="方正仿宋_GBK" w:cs="方正仿宋_GBK"/>
                <w:color w:val="000000"/>
                <w:sz w:val="28"/>
                <w:szCs w:val="28"/>
                <w:lang w:eastAsia="zh-CN"/>
              </w:rPr>
              <w:t>。</w:t>
            </w:r>
          </w:p>
          <w:p w14:paraId="51D68F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50" w:lineRule="exact"/>
              <w:ind w:left="0" w:right="0"/>
              <w:jc w:val="both"/>
              <w:textAlignment w:val="auto"/>
              <w:rPr>
                <w:rFonts w:hint="eastAsia" w:ascii="方正仿宋_GBK" w:hAnsi="方正仿宋_GBK" w:eastAsia="方正仿宋_GBK" w:cs="方正仿宋_GBK"/>
                <w:color w:val="000000"/>
                <w:sz w:val="28"/>
                <w:szCs w:val="28"/>
                <w:lang w:eastAsia="zh-CN"/>
              </w:rPr>
            </w:pPr>
            <w:r>
              <w:rPr>
                <w:rFonts w:hint="eastAsia" w:ascii="方正仿宋_GBK" w:hAnsi="方正仿宋_GBK" w:eastAsia="方正仿宋_GBK" w:cs="方正仿宋_GBK"/>
                <w:color w:val="000000"/>
                <w:sz w:val="28"/>
                <w:szCs w:val="28"/>
                <w:lang w:val="en-US" w:eastAsia="zh-CN"/>
              </w:rPr>
              <w:t>4.建有3门以上同职业的职业</w:t>
            </w:r>
            <w:r>
              <w:rPr>
                <w:rFonts w:hint="eastAsia" w:ascii="方正仿宋_GBK" w:hAnsi="方正仿宋_GBK" w:eastAsia="方正仿宋_GBK" w:cs="方正仿宋_GBK"/>
                <w:sz w:val="30"/>
                <w:szCs w:val="30"/>
                <w:lang w:val="en-US" w:eastAsia="zh-CN"/>
              </w:rPr>
              <w:t>启蒙（体验）</w:t>
            </w:r>
            <w:r>
              <w:rPr>
                <w:rFonts w:hint="eastAsia" w:ascii="方正仿宋_GBK" w:hAnsi="方正仿宋_GBK" w:eastAsia="方正仿宋_GBK" w:cs="方正仿宋_GBK"/>
                <w:color w:val="000000"/>
                <w:sz w:val="28"/>
                <w:szCs w:val="28"/>
                <w:lang w:val="en-US" w:eastAsia="zh-CN"/>
              </w:rPr>
              <w:t>课程</w:t>
            </w:r>
            <w:r>
              <w:rPr>
                <w:rFonts w:hint="eastAsia" w:ascii="方正仿宋_GBK" w:hAnsi="方正仿宋_GBK" w:eastAsia="方正仿宋_GBK" w:cs="方正仿宋_GBK"/>
                <w:color w:val="000000"/>
                <w:sz w:val="28"/>
                <w:szCs w:val="28"/>
                <w:lang w:eastAsia="zh-CN"/>
              </w:rPr>
              <w:t>。</w:t>
            </w:r>
          </w:p>
          <w:p w14:paraId="4B1620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50" w:lineRule="exact"/>
              <w:ind w:left="0" w:right="0"/>
              <w:jc w:val="both"/>
              <w:textAlignment w:val="auto"/>
              <w:rPr>
                <w:rFonts w:hint="eastAsia" w:ascii="方正仿宋_GBK" w:hAnsi="方正仿宋_GBK" w:eastAsia="方正仿宋_GBK" w:cs="方正仿宋_GBK"/>
                <w:color w:val="000000"/>
                <w:sz w:val="28"/>
                <w:szCs w:val="28"/>
                <w:lang w:eastAsia="zh-CN"/>
              </w:rPr>
            </w:pPr>
            <w:r>
              <w:rPr>
                <w:rFonts w:hint="eastAsia" w:ascii="方正仿宋_GBK" w:hAnsi="方正仿宋_GBK" w:eastAsia="方正仿宋_GBK" w:cs="方正仿宋_GBK"/>
                <w:color w:val="000000"/>
                <w:sz w:val="28"/>
                <w:szCs w:val="28"/>
                <w:lang w:val="en-US" w:eastAsia="zh-CN"/>
              </w:rPr>
              <w:t>5.</w:t>
            </w:r>
            <w:r>
              <w:rPr>
                <w:rFonts w:hint="eastAsia" w:ascii="方正仿宋_GBK" w:hAnsi="方正仿宋_GBK" w:eastAsia="方正仿宋_GBK" w:cs="方正仿宋_GBK"/>
                <w:color w:val="000000"/>
                <w:sz w:val="28"/>
                <w:szCs w:val="28"/>
              </w:rPr>
              <w:t>建有职业体验质量保证体系，体验模式、管理运行模式达到职业发展先进水平</w:t>
            </w:r>
            <w:r>
              <w:rPr>
                <w:rFonts w:hint="eastAsia" w:ascii="方正仿宋_GBK" w:hAnsi="方正仿宋_GBK" w:eastAsia="方正仿宋_GBK" w:cs="方正仿宋_GBK"/>
                <w:color w:val="000000"/>
                <w:sz w:val="28"/>
                <w:szCs w:val="28"/>
                <w:lang w:eastAsia="zh-CN"/>
              </w:rPr>
              <w:t>。</w:t>
            </w:r>
          </w:p>
          <w:p w14:paraId="57232B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50" w:lineRule="exact"/>
              <w:ind w:left="0" w:right="0"/>
              <w:jc w:val="both"/>
              <w:textAlignment w:val="auto"/>
              <w:rPr>
                <w:rFonts w:hint="eastAsia" w:ascii="方正仿宋_GBK" w:hAnsi="方正仿宋_GBK" w:eastAsia="方正仿宋_GBK" w:cs="方正仿宋_GBK"/>
                <w:color w:val="000000"/>
                <w:sz w:val="28"/>
                <w:szCs w:val="28"/>
                <w:lang w:eastAsia="zh-CN"/>
              </w:rPr>
            </w:pPr>
            <w:r>
              <w:rPr>
                <w:rFonts w:hint="eastAsia" w:ascii="方正仿宋_GBK" w:hAnsi="方正仿宋_GBK" w:eastAsia="方正仿宋_GBK" w:cs="方正仿宋_GBK"/>
                <w:color w:val="000000"/>
                <w:sz w:val="28"/>
                <w:szCs w:val="28"/>
                <w:lang w:val="en-US" w:eastAsia="zh-CN"/>
              </w:rPr>
              <w:t>6.</w:t>
            </w:r>
            <w:r>
              <w:rPr>
                <w:rFonts w:hint="eastAsia" w:ascii="方正仿宋_GBK" w:hAnsi="方正仿宋_GBK" w:eastAsia="方正仿宋_GBK" w:cs="方正仿宋_GBK"/>
                <w:color w:val="000000"/>
                <w:sz w:val="28"/>
                <w:szCs w:val="28"/>
              </w:rPr>
              <w:t>职业体验项目标准科学，流程合理、规范，</w:t>
            </w:r>
            <w:r>
              <w:rPr>
                <w:rFonts w:hint="eastAsia" w:ascii="方正仿宋_GBK" w:hAnsi="方正仿宋_GBK" w:eastAsia="方正仿宋_GBK" w:cs="方正仿宋_GBK"/>
                <w:color w:val="000000"/>
                <w:sz w:val="28"/>
                <w:szCs w:val="28"/>
                <w:lang w:val="en-US" w:eastAsia="zh-CN"/>
              </w:rPr>
              <w:t>注重项目的多样性和可操作性，能激发体验者兴趣，</w:t>
            </w:r>
            <w:r>
              <w:rPr>
                <w:rFonts w:hint="eastAsia" w:ascii="方正仿宋_GBK" w:hAnsi="方正仿宋_GBK" w:eastAsia="方正仿宋_GBK" w:cs="方正仿宋_GBK"/>
                <w:color w:val="000000"/>
                <w:sz w:val="28"/>
                <w:szCs w:val="28"/>
              </w:rPr>
              <w:t>能对需要者进行过程考核和综合能力测评</w:t>
            </w:r>
            <w:r>
              <w:rPr>
                <w:rFonts w:hint="eastAsia" w:ascii="方正仿宋_GBK" w:hAnsi="方正仿宋_GBK" w:eastAsia="方正仿宋_GBK" w:cs="方正仿宋_GBK"/>
                <w:color w:val="000000"/>
                <w:sz w:val="28"/>
                <w:szCs w:val="28"/>
                <w:lang w:eastAsia="zh-CN"/>
              </w:rPr>
              <w:t>。</w:t>
            </w:r>
          </w:p>
          <w:p w14:paraId="3882D6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50" w:lineRule="exact"/>
              <w:ind w:left="0" w:right="0"/>
              <w:jc w:val="both"/>
              <w:textAlignment w:val="auto"/>
              <w:rPr>
                <w:rFonts w:hint="eastAsia" w:ascii="方正仿宋_GBK" w:hAnsi="方正仿宋_GBK" w:eastAsia="方正仿宋_GBK" w:cs="方正仿宋_GBK"/>
                <w:color w:val="000000"/>
                <w:sz w:val="28"/>
                <w:szCs w:val="28"/>
                <w:lang w:eastAsia="zh-CN"/>
              </w:rPr>
            </w:pPr>
            <w:r>
              <w:rPr>
                <w:rFonts w:hint="eastAsia" w:ascii="方正仿宋_GBK" w:hAnsi="方正仿宋_GBK" w:eastAsia="方正仿宋_GBK" w:cs="方正仿宋_GBK"/>
                <w:color w:val="000000"/>
                <w:sz w:val="28"/>
                <w:szCs w:val="28"/>
                <w:lang w:val="en-US" w:eastAsia="zh-CN"/>
              </w:rPr>
              <w:t>7.</w:t>
            </w:r>
            <w:r>
              <w:rPr>
                <w:rFonts w:hint="eastAsia" w:ascii="方正仿宋_GBK" w:hAnsi="方正仿宋_GBK" w:eastAsia="方正仿宋_GBK" w:cs="方正仿宋_GBK"/>
                <w:color w:val="000000"/>
                <w:sz w:val="28"/>
                <w:szCs w:val="28"/>
              </w:rPr>
              <w:t>体验内容全面系统，能认知过去、突出当下、展示未来；依据不同体验课时，提出相应要求</w:t>
            </w:r>
            <w:r>
              <w:rPr>
                <w:rFonts w:hint="eastAsia" w:ascii="方正仿宋_GBK" w:hAnsi="方正仿宋_GBK" w:eastAsia="方正仿宋_GBK" w:cs="方正仿宋_GBK"/>
                <w:color w:val="000000"/>
                <w:sz w:val="28"/>
                <w:szCs w:val="28"/>
                <w:lang w:eastAsia="zh-CN"/>
              </w:rPr>
              <w:t>。</w:t>
            </w:r>
          </w:p>
        </w:tc>
      </w:tr>
      <w:tr w14:paraId="3E1C55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312" w:hRule="atLeast"/>
          <w:jc w:val="center"/>
        </w:trPr>
        <w:tc>
          <w:tcPr>
            <w:tcW w:w="1671" w:type="dxa"/>
            <w:vMerge w:val="restart"/>
            <w:tcBorders>
              <w:tl2br w:val="nil"/>
              <w:tr2bl w:val="nil"/>
            </w:tcBorders>
            <w:shd w:val="clear" w:color="auto" w:fill="auto"/>
            <w:tcMar>
              <w:top w:w="20" w:type="dxa"/>
              <w:left w:w="20" w:type="dxa"/>
              <w:bottom w:w="0" w:type="dxa"/>
              <w:right w:w="20" w:type="dxa"/>
            </w:tcMar>
            <w:vAlign w:val="center"/>
          </w:tcPr>
          <w:p w14:paraId="687A4A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w:t>
            </w:r>
            <w:r>
              <w:rPr>
                <w:rFonts w:hint="eastAsia" w:ascii="方正仿宋_GBK" w:hAnsi="方正仿宋_GBK" w:eastAsia="方正仿宋_GBK" w:cs="方正仿宋_GBK"/>
                <w:sz w:val="28"/>
                <w:szCs w:val="28"/>
                <w:lang w:val="en-US" w:eastAsia="zh-CN"/>
              </w:rPr>
              <w:t>团队成员</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lang w:val="en-US" w:eastAsia="zh-CN"/>
              </w:rPr>
              <w:t>20分</w:t>
            </w:r>
            <w:r>
              <w:rPr>
                <w:rFonts w:hint="eastAsia" w:ascii="方正仿宋_GBK" w:hAnsi="方正仿宋_GBK" w:eastAsia="方正仿宋_GBK" w:cs="方正仿宋_GBK"/>
                <w:color w:val="000000"/>
                <w:sz w:val="28"/>
                <w:szCs w:val="28"/>
                <w:lang w:eastAsia="zh-CN"/>
              </w:rPr>
              <w:t>）</w:t>
            </w:r>
          </w:p>
        </w:tc>
        <w:tc>
          <w:tcPr>
            <w:tcW w:w="7389" w:type="dxa"/>
            <w:vMerge w:val="restart"/>
            <w:tcBorders>
              <w:tl2br w:val="nil"/>
              <w:tr2bl w:val="nil"/>
            </w:tcBorders>
            <w:shd w:val="clear" w:color="auto" w:fill="auto"/>
            <w:tcMar>
              <w:top w:w="20" w:type="dxa"/>
              <w:left w:w="20" w:type="dxa"/>
              <w:bottom w:w="0" w:type="dxa"/>
              <w:right w:w="20" w:type="dxa"/>
            </w:tcMar>
            <w:vAlign w:val="center"/>
          </w:tcPr>
          <w:p w14:paraId="1AC46A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50" w:lineRule="exact"/>
              <w:ind w:left="0" w:right="0"/>
              <w:jc w:val="both"/>
              <w:textAlignment w:val="auto"/>
              <w:rPr>
                <w:rFonts w:hint="eastAsia" w:ascii="方正仿宋_GBK" w:hAnsi="方正仿宋_GBK" w:eastAsia="方正仿宋_GBK" w:cs="方正仿宋_GBK"/>
                <w:color w:val="000000"/>
                <w:sz w:val="28"/>
                <w:szCs w:val="28"/>
                <w:lang w:eastAsia="zh-CN"/>
              </w:rPr>
            </w:pPr>
            <w:r>
              <w:rPr>
                <w:rFonts w:hint="eastAsia" w:ascii="方正仿宋_GBK" w:hAnsi="方正仿宋_GBK" w:eastAsia="方正仿宋_GBK" w:cs="方正仿宋_GBK"/>
                <w:color w:val="000000"/>
                <w:sz w:val="28"/>
                <w:szCs w:val="28"/>
                <w:lang w:val="en-US" w:eastAsia="zh-CN"/>
              </w:rPr>
              <w:t>1.</w:t>
            </w:r>
            <w:r>
              <w:rPr>
                <w:rFonts w:hint="eastAsia" w:ascii="方正仿宋_GBK" w:hAnsi="方正仿宋_GBK" w:eastAsia="方正仿宋_GBK" w:cs="方正仿宋_GBK"/>
                <w:color w:val="000000"/>
                <w:sz w:val="28"/>
                <w:szCs w:val="28"/>
              </w:rPr>
              <w:t>体验中心有校级领导具体分管，配备熟悉职业、具备相关专业高级职称或高级技师以上职业资格、具有较强组织管理和协调能力的专业人员担任中心负责人</w:t>
            </w:r>
            <w:r>
              <w:rPr>
                <w:rFonts w:hint="eastAsia" w:ascii="方正仿宋_GBK" w:hAnsi="方正仿宋_GBK" w:eastAsia="方正仿宋_GBK" w:cs="方正仿宋_GBK"/>
                <w:color w:val="000000"/>
                <w:sz w:val="28"/>
                <w:szCs w:val="28"/>
                <w:lang w:eastAsia="zh-CN"/>
              </w:rPr>
              <w:t>。</w:t>
            </w:r>
          </w:p>
          <w:p w14:paraId="149028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50" w:lineRule="exact"/>
              <w:ind w:left="0" w:right="0"/>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体验中心管理人员原则上不少于2人，并配有一定数量（不少于8人）具有职业背景和丰富实践经验的专职职业指导教师；指导教师</w:t>
            </w:r>
            <w:r>
              <w:rPr>
                <w:rFonts w:hint="eastAsia" w:ascii="方正仿宋_GBK" w:hAnsi="方正仿宋_GBK" w:eastAsia="方正仿宋_GBK" w:cs="方正仿宋_GBK"/>
                <w:sz w:val="28"/>
                <w:szCs w:val="28"/>
                <w:lang w:val="en-US" w:eastAsia="zh-CN"/>
              </w:rPr>
              <w:t>须</w:t>
            </w:r>
            <w:r>
              <w:rPr>
                <w:rFonts w:hint="eastAsia" w:ascii="方正仿宋_GBK" w:hAnsi="方正仿宋_GBK" w:eastAsia="方正仿宋_GBK" w:cs="方正仿宋_GBK"/>
                <w:sz w:val="28"/>
                <w:szCs w:val="28"/>
              </w:rPr>
              <w:t>具有教师资格证、具有中级及以上专业技术职称或技师以上职业资格证书（或执业资格证书）</w:t>
            </w:r>
            <w:r>
              <w:rPr>
                <w:rFonts w:hint="eastAsia" w:ascii="方正仿宋_GBK" w:hAnsi="方正仿宋_GBK" w:eastAsia="方正仿宋_GBK" w:cs="方正仿宋_GBK"/>
                <w:sz w:val="28"/>
                <w:szCs w:val="28"/>
                <w:lang w:eastAsia="zh-CN"/>
              </w:rPr>
              <w:t>。</w:t>
            </w:r>
          </w:p>
          <w:p w14:paraId="1F75BC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50" w:lineRule="exact"/>
              <w:ind w:left="0" w:right="0"/>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聘请具有职业背景和丰富实践经验的专家或专业技术人员（含不超过70周岁的离退休人员）担任兼职指导教师，兼职指导教师队伍相对稳定</w:t>
            </w:r>
            <w:r>
              <w:rPr>
                <w:rFonts w:hint="eastAsia" w:ascii="方正仿宋_GBK" w:hAnsi="方正仿宋_GBK" w:eastAsia="方正仿宋_GBK" w:cs="方正仿宋_GBK"/>
                <w:sz w:val="28"/>
                <w:szCs w:val="28"/>
                <w:lang w:eastAsia="zh-CN"/>
              </w:rPr>
              <w:t>。</w:t>
            </w:r>
          </w:p>
          <w:p w14:paraId="2A9232F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50" w:lineRule="exact"/>
              <w:ind w:left="0" w:right="0"/>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color w:val="000000"/>
                <w:sz w:val="28"/>
                <w:szCs w:val="28"/>
                <w:lang w:val="en-US" w:eastAsia="zh-CN"/>
              </w:rPr>
              <w:t>4.</w:t>
            </w:r>
            <w:r>
              <w:rPr>
                <w:rFonts w:hint="eastAsia" w:ascii="方正仿宋_GBK" w:hAnsi="方正仿宋_GBK" w:eastAsia="方正仿宋_GBK" w:cs="方正仿宋_GBK"/>
                <w:color w:val="000000"/>
                <w:sz w:val="28"/>
                <w:szCs w:val="28"/>
              </w:rPr>
              <w:t>职业体验中心管理人员和指导教师师德好，具有相应的从业背景</w:t>
            </w:r>
            <w:r>
              <w:rPr>
                <w:rFonts w:hint="eastAsia" w:ascii="方正仿宋_GBK" w:hAnsi="方正仿宋_GBK" w:eastAsia="方正仿宋_GBK" w:cs="方正仿宋_GBK"/>
                <w:color w:val="000000"/>
                <w:sz w:val="28"/>
                <w:szCs w:val="28"/>
                <w:lang w:eastAsia="zh-CN"/>
              </w:rPr>
              <w:t>。</w:t>
            </w:r>
          </w:p>
          <w:p w14:paraId="0D8CF7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50" w:lineRule="exact"/>
              <w:ind w:left="0" w:right="0"/>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color w:val="000000"/>
                <w:sz w:val="28"/>
                <w:szCs w:val="28"/>
                <w:lang w:val="en-US" w:eastAsia="zh-CN"/>
              </w:rPr>
              <w:t>5.</w:t>
            </w:r>
            <w:r>
              <w:rPr>
                <w:rFonts w:hint="eastAsia" w:ascii="方正仿宋_GBK" w:hAnsi="方正仿宋_GBK" w:eastAsia="方正仿宋_GBK" w:cs="方正仿宋_GBK"/>
                <w:color w:val="000000"/>
                <w:sz w:val="28"/>
                <w:szCs w:val="28"/>
              </w:rPr>
              <w:t>制订了切实可行的职业体验中心管理人员和指导教师的工作要求和管理制度</w:t>
            </w:r>
            <w:r>
              <w:rPr>
                <w:rFonts w:hint="eastAsia" w:ascii="方正仿宋_GBK" w:hAnsi="方正仿宋_GBK" w:eastAsia="方正仿宋_GBK" w:cs="方正仿宋_GBK"/>
                <w:color w:val="000000"/>
                <w:sz w:val="28"/>
                <w:szCs w:val="28"/>
                <w:lang w:eastAsia="zh-CN"/>
              </w:rPr>
              <w:t>。</w:t>
            </w:r>
          </w:p>
        </w:tc>
      </w:tr>
      <w:tr w14:paraId="7731B3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312" w:hRule="atLeast"/>
          <w:jc w:val="center"/>
        </w:trPr>
        <w:tc>
          <w:tcPr>
            <w:tcW w:w="1671" w:type="dxa"/>
            <w:vMerge w:val="continue"/>
            <w:tcBorders>
              <w:tl2br w:val="nil"/>
              <w:tr2bl w:val="nil"/>
            </w:tcBorders>
            <w:shd w:val="clear" w:color="auto" w:fill="auto"/>
            <w:tcMar>
              <w:top w:w="20" w:type="dxa"/>
              <w:left w:w="20" w:type="dxa"/>
              <w:bottom w:w="0" w:type="dxa"/>
              <w:right w:w="20" w:type="dxa"/>
            </w:tcMar>
            <w:vAlign w:val="center"/>
          </w:tcPr>
          <w:p w14:paraId="18A4C3B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sz w:val="28"/>
                <w:szCs w:val="28"/>
              </w:rPr>
            </w:pPr>
          </w:p>
        </w:tc>
        <w:tc>
          <w:tcPr>
            <w:tcW w:w="7389" w:type="dxa"/>
            <w:vMerge w:val="continue"/>
            <w:tcBorders>
              <w:tl2br w:val="nil"/>
              <w:tr2bl w:val="nil"/>
            </w:tcBorders>
            <w:shd w:val="clear" w:color="auto" w:fill="auto"/>
            <w:tcMar>
              <w:top w:w="20" w:type="dxa"/>
              <w:left w:w="20" w:type="dxa"/>
              <w:bottom w:w="0" w:type="dxa"/>
              <w:right w:w="20" w:type="dxa"/>
            </w:tcMar>
            <w:vAlign w:val="center"/>
          </w:tcPr>
          <w:p w14:paraId="158F31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50" w:lineRule="exact"/>
              <w:ind w:left="0" w:right="0"/>
              <w:jc w:val="both"/>
              <w:textAlignment w:val="auto"/>
              <w:rPr>
                <w:rFonts w:hint="eastAsia" w:ascii="方正仿宋_GBK" w:hAnsi="方正仿宋_GBK" w:eastAsia="方正仿宋_GBK" w:cs="方正仿宋_GBK"/>
                <w:sz w:val="28"/>
                <w:szCs w:val="28"/>
              </w:rPr>
            </w:pPr>
          </w:p>
        </w:tc>
      </w:tr>
      <w:tr w14:paraId="4561BD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312" w:hRule="atLeast"/>
          <w:jc w:val="center"/>
        </w:trPr>
        <w:tc>
          <w:tcPr>
            <w:tcW w:w="1671" w:type="dxa"/>
            <w:vMerge w:val="restart"/>
            <w:tcBorders>
              <w:tl2br w:val="nil"/>
              <w:tr2bl w:val="nil"/>
            </w:tcBorders>
            <w:shd w:val="clear" w:color="auto" w:fill="auto"/>
            <w:tcMar>
              <w:top w:w="20" w:type="dxa"/>
              <w:left w:w="20" w:type="dxa"/>
              <w:bottom w:w="0" w:type="dxa"/>
              <w:right w:w="20" w:type="dxa"/>
            </w:tcMar>
            <w:vAlign w:val="center"/>
          </w:tcPr>
          <w:p w14:paraId="527A59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color w:val="000000"/>
                <w:sz w:val="28"/>
                <w:szCs w:val="28"/>
              </w:rPr>
              <w:t>五、制度保障</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lang w:val="en-US" w:eastAsia="zh-CN"/>
              </w:rPr>
              <w:t>15分</w:t>
            </w:r>
            <w:r>
              <w:rPr>
                <w:rFonts w:hint="eastAsia" w:ascii="方正仿宋_GBK" w:hAnsi="方正仿宋_GBK" w:eastAsia="方正仿宋_GBK" w:cs="方正仿宋_GBK"/>
                <w:color w:val="000000"/>
                <w:sz w:val="28"/>
                <w:szCs w:val="28"/>
                <w:lang w:eastAsia="zh-CN"/>
              </w:rPr>
              <w:t>）</w:t>
            </w:r>
          </w:p>
        </w:tc>
        <w:tc>
          <w:tcPr>
            <w:tcW w:w="7389" w:type="dxa"/>
            <w:vMerge w:val="restart"/>
            <w:tcBorders>
              <w:tl2br w:val="nil"/>
              <w:tr2bl w:val="nil"/>
            </w:tcBorders>
            <w:shd w:val="clear" w:color="auto" w:fill="auto"/>
            <w:tcMar>
              <w:top w:w="20" w:type="dxa"/>
              <w:left w:w="20" w:type="dxa"/>
              <w:bottom w:w="0" w:type="dxa"/>
              <w:right w:w="20" w:type="dxa"/>
            </w:tcMar>
            <w:vAlign w:val="center"/>
          </w:tcPr>
          <w:p w14:paraId="3CEEC3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50" w:lineRule="exact"/>
              <w:ind w:left="0" w:right="0"/>
              <w:jc w:val="both"/>
              <w:textAlignment w:val="auto"/>
              <w:rPr>
                <w:rFonts w:hint="eastAsia" w:ascii="方正仿宋_GBK" w:hAnsi="方正仿宋_GBK" w:eastAsia="方正仿宋_GBK" w:cs="方正仿宋_GBK"/>
                <w:color w:val="000000"/>
                <w:sz w:val="28"/>
                <w:szCs w:val="28"/>
                <w:lang w:eastAsia="zh-CN"/>
              </w:rPr>
            </w:pPr>
            <w:r>
              <w:rPr>
                <w:rFonts w:hint="eastAsia" w:ascii="方正仿宋_GBK" w:hAnsi="方正仿宋_GBK" w:eastAsia="方正仿宋_GBK" w:cs="方正仿宋_GBK"/>
                <w:color w:val="000000"/>
                <w:sz w:val="28"/>
                <w:szCs w:val="28"/>
                <w:lang w:val="en-US" w:eastAsia="zh-CN"/>
              </w:rPr>
              <w:t>1.</w:t>
            </w:r>
            <w:r>
              <w:rPr>
                <w:rFonts w:hint="eastAsia" w:ascii="方正仿宋_GBK" w:hAnsi="方正仿宋_GBK" w:eastAsia="方正仿宋_GBK" w:cs="方正仿宋_GBK"/>
                <w:color w:val="000000"/>
                <w:sz w:val="28"/>
                <w:szCs w:val="28"/>
              </w:rPr>
              <w:t>有符合实际的职业体验中心三年发展规划；能依据职业发展及时调整体验项目、更换设施设备、更新环境布置、优化体验流程</w:t>
            </w:r>
            <w:r>
              <w:rPr>
                <w:rFonts w:hint="eastAsia" w:ascii="方正仿宋_GBK" w:hAnsi="方正仿宋_GBK" w:eastAsia="方正仿宋_GBK" w:cs="方正仿宋_GBK"/>
                <w:color w:val="000000"/>
                <w:sz w:val="28"/>
                <w:szCs w:val="28"/>
                <w:lang w:eastAsia="zh-CN"/>
              </w:rPr>
              <w:t>。</w:t>
            </w:r>
          </w:p>
          <w:p w14:paraId="53C9A3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50" w:lineRule="exact"/>
              <w:ind w:left="0" w:right="0"/>
              <w:jc w:val="both"/>
              <w:textAlignment w:val="auto"/>
              <w:rPr>
                <w:rFonts w:hint="eastAsia" w:ascii="方正仿宋_GBK" w:hAnsi="方正仿宋_GBK" w:eastAsia="方正仿宋_GBK" w:cs="方正仿宋_GBK"/>
                <w:color w:val="000000"/>
                <w:sz w:val="28"/>
                <w:szCs w:val="28"/>
                <w:lang w:eastAsia="zh-CN"/>
              </w:rPr>
            </w:pPr>
            <w:r>
              <w:rPr>
                <w:rFonts w:hint="eastAsia" w:ascii="方正仿宋_GBK" w:hAnsi="方正仿宋_GBK" w:eastAsia="方正仿宋_GBK" w:cs="方正仿宋_GBK"/>
                <w:color w:val="000000"/>
                <w:sz w:val="28"/>
                <w:szCs w:val="28"/>
                <w:lang w:val="en-US" w:eastAsia="zh-CN"/>
              </w:rPr>
              <w:t>2.</w:t>
            </w:r>
            <w:r>
              <w:rPr>
                <w:rFonts w:hint="eastAsia" w:ascii="方正仿宋_GBK" w:hAnsi="方正仿宋_GBK" w:eastAsia="方正仿宋_GBK" w:cs="方正仿宋_GBK"/>
                <w:color w:val="000000"/>
                <w:sz w:val="28"/>
                <w:szCs w:val="28"/>
              </w:rPr>
              <w:t>体验中心建构科学的管理制度和运行模式，工作、人员、设备、设施、安全、环保等管理制度齐全</w:t>
            </w:r>
            <w:r>
              <w:rPr>
                <w:rFonts w:hint="eastAsia" w:ascii="方正仿宋_GBK" w:hAnsi="方正仿宋_GBK" w:eastAsia="方正仿宋_GBK" w:cs="方正仿宋_GBK"/>
                <w:color w:val="000000"/>
                <w:sz w:val="28"/>
                <w:szCs w:val="28"/>
                <w:lang w:eastAsia="zh-CN"/>
              </w:rPr>
              <w:t>。</w:t>
            </w:r>
          </w:p>
          <w:p w14:paraId="6200CF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50" w:lineRule="exact"/>
              <w:ind w:left="0" w:right="0"/>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color w:val="000000"/>
                <w:sz w:val="28"/>
                <w:szCs w:val="28"/>
                <w:lang w:val="en-US" w:eastAsia="zh-CN"/>
              </w:rPr>
              <w:t>3.</w:t>
            </w:r>
            <w:r>
              <w:rPr>
                <w:rFonts w:hint="eastAsia" w:ascii="方正仿宋_GBK" w:hAnsi="方正仿宋_GBK" w:eastAsia="方正仿宋_GBK" w:cs="方正仿宋_GBK"/>
                <w:color w:val="000000"/>
                <w:sz w:val="28"/>
                <w:szCs w:val="28"/>
              </w:rPr>
              <w:t>职业体验指导人员有明确的任务分工和岗位职责；能够及时对体验进行反思，及时改进工作</w:t>
            </w:r>
            <w:r>
              <w:rPr>
                <w:rFonts w:hint="eastAsia" w:ascii="方正仿宋_GBK" w:hAnsi="方正仿宋_GBK" w:eastAsia="方正仿宋_GBK" w:cs="方正仿宋_GBK"/>
                <w:color w:val="000000"/>
                <w:sz w:val="28"/>
                <w:szCs w:val="28"/>
                <w:lang w:eastAsia="zh-CN"/>
              </w:rPr>
              <w:t>。</w:t>
            </w:r>
          </w:p>
        </w:tc>
      </w:tr>
      <w:tr w14:paraId="6E0F2E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312" w:hRule="atLeast"/>
          <w:jc w:val="center"/>
        </w:trPr>
        <w:tc>
          <w:tcPr>
            <w:tcW w:w="1671" w:type="dxa"/>
            <w:vMerge w:val="continue"/>
            <w:tcBorders>
              <w:tl2br w:val="nil"/>
              <w:tr2bl w:val="nil"/>
            </w:tcBorders>
            <w:shd w:val="clear" w:color="auto" w:fill="auto"/>
            <w:tcMar>
              <w:top w:w="20" w:type="dxa"/>
              <w:left w:w="20" w:type="dxa"/>
              <w:bottom w:w="0" w:type="dxa"/>
              <w:right w:w="20" w:type="dxa"/>
            </w:tcMar>
            <w:vAlign w:val="center"/>
          </w:tcPr>
          <w:p w14:paraId="13E28FFB">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方正仿宋_GBK" w:hAnsi="方正仿宋_GBK" w:eastAsia="方正仿宋_GBK" w:cs="方正仿宋_GBK"/>
                <w:sz w:val="28"/>
                <w:szCs w:val="28"/>
              </w:rPr>
            </w:pPr>
          </w:p>
        </w:tc>
        <w:tc>
          <w:tcPr>
            <w:tcW w:w="7389" w:type="dxa"/>
            <w:vMerge w:val="continue"/>
            <w:tcBorders>
              <w:tl2br w:val="nil"/>
              <w:tr2bl w:val="nil"/>
            </w:tcBorders>
            <w:shd w:val="clear" w:color="auto" w:fill="auto"/>
            <w:tcMar>
              <w:top w:w="20" w:type="dxa"/>
              <w:left w:w="20" w:type="dxa"/>
              <w:bottom w:w="0" w:type="dxa"/>
              <w:right w:w="20" w:type="dxa"/>
            </w:tcMar>
            <w:vAlign w:val="center"/>
          </w:tcPr>
          <w:p w14:paraId="770284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50" w:lineRule="exact"/>
              <w:ind w:left="0" w:right="0"/>
              <w:jc w:val="both"/>
              <w:textAlignment w:val="auto"/>
              <w:rPr>
                <w:rFonts w:hint="eastAsia" w:ascii="方正仿宋_GBK" w:hAnsi="方正仿宋_GBK" w:eastAsia="方正仿宋_GBK" w:cs="方正仿宋_GBK"/>
                <w:sz w:val="28"/>
                <w:szCs w:val="28"/>
              </w:rPr>
            </w:pPr>
          </w:p>
        </w:tc>
      </w:tr>
      <w:tr w14:paraId="034BCE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312" w:hRule="atLeast"/>
          <w:jc w:val="center"/>
        </w:trPr>
        <w:tc>
          <w:tcPr>
            <w:tcW w:w="1671" w:type="dxa"/>
            <w:vMerge w:val="restart"/>
            <w:tcBorders>
              <w:tl2br w:val="nil"/>
              <w:tr2bl w:val="nil"/>
            </w:tcBorders>
            <w:shd w:val="clear" w:color="auto" w:fill="auto"/>
            <w:tcMar>
              <w:top w:w="20" w:type="dxa"/>
              <w:left w:w="20" w:type="dxa"/>
              <w:bottom w:w="0" w:type="dxa"/>
              <w:right w:w="20" w:type="dxa"/>
            </w:tcMar>
            <w:vAlign w:val="center"/>
          </w:tcPr>
          <w:p w14:paraId="0434C1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color w:val="000000"/>
                <w:sz w:val="28"/>
                <w:szCs w:val="28"/>
              </w:rPr>
              <w:t>六、建设特色</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lang w:val="en-US" w:eastAsia="zh-CN"/>
              </w:rPr>
              <w:t>10分</w:t>
            </w:r>
            <w:r>
              <w:rPr>
                <w:rFonts w:hint="eastAsia" w:ascii="方正仿宋_GBK" w:hAnsi="方正仿宋_GBK" w:eastAsia="方正仿宋_GBK" w:cs="方正仿宋_GBK"/>
                <w:color w:val="000000"/>
                <w:sz w:val="28"/>
                <w:szCs w:val="28"/>
                <w:lang w:eastAsia="zh-CN"/>
              </w:rPr>
              <w:t>）</w:t>
            </w:r>
          </w:p>
        </w:tc>
        <w:tc>
          <w:tcPr>
            <w:tcW w:w="7389" w:type="dxa"/>
            <w:vMerge w:val="restart"/>
            <w:tcBorders>
              <w:tl2br w:val="nil"/>
              <w:tr2bl w:val="nil"/>
            </w:tcBorders>
            <w:shd w:val="clear" w:color="auto" w:fill="auto"/>
            <w:tcMar>
              <w:top w:w="20" w:type="dxa"/>
              <w:left w:w="20" w:type="dxa"/>
              <w:bottom w:w="0" w:type="dxa"/>
              <w:right w:w="20" w:type="dxa"/>
            </w:tcMar>
            <w:vAlign w:val="center"/>
          </w:tcPr>
          <w:p w14:paraId="631B39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50" w:lineRule="exact"/>
              <w:ind w:left="0" w:right="0"/>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color w:val="000000"/>
                <w:sz w:val="28"/>
                <w:szCs w:val="28"/>
                <w:lang w:val="en-US" w:eastAsia="zh-CN"/>
              </w:rPr>
              <w:t>在职普融通、产教融合、科普知识、劳动教育、国际交流等方面有建设特色</w:t>
            </w:r>
            <w:r>
              <w:rPr>
                <w:rFonts w:hint="eastAsia" w:ascii="方正仿宋_GBK" w:hAnsi="方正仿宋_GBK" w:eastAsia="方正仿宋_GBK" w:cs="方正仿宋_GBK"/>
                <w:color w:val="000000"/>
                <w:sz w:val="28"/>
                <w:szCs w:val="28"/>
                <w:lang w:eastAsia="zh-CN"/>
              </w:rPr>
              <w:t>。</w:t>
            </w:r>
          </w:p>
        </w:tc>
      </w:tr>
      <w:tr w14:paraId="53095E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385" w:hRule="atLeast"/>
          <w:jc w:val="center"/>
        </w:trPr>
        <w:tc>
          <w:tcPr>
            <w:tcW w:w="1671" w:type="dxa"/>
            <w:vMerge w:val="continue"/>
            <w:tcBorders>
              <w:tl2br w:val="nil"/>
              <w:tr2bl w:val="nil"/>
            </w:tcBorders>
            <w:shd w:val="clear" w:color="auto" w:fill="auto"/>
            <w:tcMar>
              <w:top w:w="20" w:type="dxa"/>
              <w:left w:w="20" w:type="dxa"/>
              <w:bottom w:w="0" w:type="dxa"/>
              <w:right w:w="20" w:type="dxa"/>
            </w:tcMar>
            <w:vAlign w:val="center"/>
          </w:tcPr>
          <w:p w14:paraId="2470CD3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p>
        </w:tc>
        <w:tc>
          <w:tcPr>
            <w:tcW w:w="7389" w:type="dxa"/>
            <w:vMerge w:val="continue"/>
            <w:tcBorders>
              <w:tl2br w:val="nil"/>
              <w:tr2bl w:val="nil"/>
            </w:tcBorders>
            <w:shd w:val="clear" w:color="auto" w:fill="auto"/>
            <w:tcMar>
              <w:top w:w="20" w:type="dxa"/>
              <w:left w:w="20" w:type="dxa"/>
              <w:bottom w:w="0" w:type="dxa"/>
              <w:right w:w="20" w:type="dxa"/>
            </w:tcMar>
            <w:vAlign w:val="center"/>
          </w:tcPr>
          <w:p w14:paraId="6B2941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sz w:val="28"/>
                <w:szCs w:val="28"/>
              </w:rPr>
            </w:pPr>
          </w:p>
        </w:tc>
      </w:tr>
      <w:tr w14:paraId="0D0938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385" w:hRule="atLeast"/>
          <w:jc w:val="center"/>
        </w:trPr>
        <w:tc>
          <w:tcPr>
            <w:tcW w:w="1671" w:type="dxa"/>
            <w:vMerge w:val="continue"/>
            <w:tcBorders>
              <w:tl2br w:val="nil"/>
              <w:tr2bl w:val="nil"/>
            </w:tcBorders>
            <w:shd w:val="clear" w:color="auto" w:fill="auto"/>
            <w:tcMar>
              <w:top w:w="20" w:type="dxa"/>
              <w:left w:w="20" w:type="dxa"/>
              <w:bottom w:w="0" w:type="dxa"/>
              <w:right w:w="20" w:type="dxa"/>
            </w:tcMar>
            <w:vAlign w:val="center"/>
          </w:tcPr>
          <w:p w14:paraId="0228E03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p>
        </w:tc>
        <w:tc>
          <w:tcPr>
            <w:tcW w:w="7389" w:type="dxa"/>
            <w:vMerge w:val="continue"/>
            <w:tcBorders>
              <w:tl2br w:val="nil"/>
              <w:tr2bl w:val="nil"/>
            </w:tcBorders>
            <w:shd w:val="clear" w:color="auto" w:fill="auto"/>
            <w:tcMar>
              <w:top w:w="20" w:type="dxa"/>
              <w:left w:w="20" w:type="dxa"/>
              <w:bottom w:w="0" w:type="dxa"/>
              <w:right w:w="20" w:type="dxa"/>
            </w:tcMar>
            <w:vAlign w:val="center"/>
          </w:tcPr>
          <w:p w14:paraId="76A61A8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sz w:val="28"/>
                <w:szCs w:val="28"/>
              </w:rPr>
            </w:pPr>
          </w:p>
        </w:tc>
      </w:tr>
      <w:tr w14:paraId="54E6E0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385" w:hRule="atLeast"/>
          <w:jc w:val="center"/>
        </w:trPr>
        <w:tc>
          <w:tcPr>
            <w:tcW w:w="1671" w:type="dxa"/>
            <w:vMerge w:val="continue"/>
            <w:tcBorders>
              <w:tl2br w:val="nil"/>
              <w:tr2bl w:val="nil"/>
            </w:tcBorders>
            <w:shd w:val="clear" w:color="auto" w:fill="auto"/>
            <w:tcMar>
              <w:top w:w="20" w:type="dxa"/>
              <w:left w:w="20" w:type="dxa"/>
              <w:bottom w:w="0" w:type="dxa"/>
              <w:right w:w="20" w:type="dxa"/>
            </w:tcMar>
            <w:vAlign w:val="center"/>
          </w:tcPr>
          <w:p w14:paraId="275E830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8"/>
                <w:szCs w:val="28"/>
              </w:rPr>
            </w:pPr>
          </w:p>
        </w:tc>
        <w:tc>
          <w:tcPr>
            <w:tcW w:w="7389" w:type="dxa"/>
            <w:vMerge w:val="continue"/>
            <w:tcBorders>
              <w:tl2br w:val="nil"/>
              <w:tr2bl w:val="nil"/>
            </w:tcBorders>
            <w:shd w:val="clear" w:color="auto" w:fill="auto"/>
            <w:tcMar>
              <w:top w:w="20" w:type="dxa"/>
              <w:left w:w="20" w:type="dxa"/>
              <w:bottom w:w="0" w:type="dxa"/>
              <w:right w:w="20" w:type="dxa"/>
            </w:tcMar>
            <w:vAlign w:val="center"/>
          </w:tcPr>
          <w:p w14:paraId="4A3BFF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sz w:val="28"/>
                <w:szCs w:val="28"/>
              </w:rPr>
            </w:pPr>
          </w:p>
        </w:tc>
      </w:tr>
      <w:tr w14:paraId="0513AF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15" w:type="dxa"/>
            <w:left w:w="15" w:type="dxa"/>
            <w:bottom w:w="15" w:type="dxa"/>
            <w:right w:w="15" w:type="dxa"/>
          </w:tblCellMar>
        </w:tblPrEx>
        <w:trPr>
          <w:trHeight w:val="312" w:hRule="atLeast"/>
          <w:jc w:val="center"/>
        </w:trPr>
        <w:tc>
          <w:tcPr>
            <w:tcW w:w="1671" w:type="dxa"/>
            <w:vMerge w:val="continue"/>
            <w:tcBorders>
              <w:tl2br w:val="nil"/>
              <w:tr2bl w:val="nil"/>
            </w:tcBorders>
            <w:shd w:val="clear" w:color="auto" w:fill="auto"/>
            <w:tcMar>
              <w:top w:w="0" w:type="dxa"/>
              <w:left w:w="108" w:type="dxa"/>
              <w:bottom w:w="0" w:type="dxa"/>
              <w:right w:w="108" w:type="dxa"/>
            </w:tcMar>
            <w:vAlign w:val="center"/>
          </w:tcPr>
          <w:p w14:paraId="21C030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方正仿宋_GBK" w:hAnsi="方正仿宋_GBK" w:eastAsia="方正仿宋_GBK" w:cs="方正仿宋_GBK"/>
                <w:sz w:val="28"/>
                <w:szCs w:val="28"/>
              </w:rPr>
            </w:pPr>
          </w:p>
        </w:tc>
        <w:tc>
          <w:tcPr>
            <w:tcW w:w="7389" w:type="dxa"/>
            <w:vMerge w:val="continue"/>
            <w:tcBorders>
              <w:tl2br w:val="nil"/>
              <w:tr2bl w:val="nil"/>
            </w:tcBorders>
            <w:shd w:val="clear" w:color="auto" w:fill="auto"/>
            <w:tcMar>
              <w:top w:w="20" w:type="dxa"/>
              <w:left w:w="20" w:type="dxa"/>
              <w:bottom w:w="0" w:type="dxa"/>
              <w:right w:w="20" w:type="dxa"/>
            </w:tcMar>
            <w:vAlign w:val="center"/>
          </w:tcPr>
          <w:p w14:paraId="071187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sz w:val="28"/>
                <w:szCs w:val="28"/>
              </w:rPr>
            </w:pPr>
          </w:p>
        </w:tc>
      </w:tr>
    </w:tbl>
    <w:p w14:paraId="1E7108D2">
      <w:pPr>
        <w:keepNext w:val="0"/>
        <w:keepLines w:val="0"/>
        <w:pageBreakBefore w:val="0"/>
        <w:kinsoku/>
        <w:wordWrap/>
        <w:overflowPunct/>
        <w:topLinePunct w:val="0"/>
        <w:autoSpaceDE/>
        <w:autoSpaceDN/>
        <w:bidi w:val="0"/>
        <w:adjustRightInd/>
        <w:snapToGrid/>
        <w:spacing w:line="520" w:lineRule="exact"/>
        <w:jc w:val="both"/>
        <w:textAlignment w:val="auto"/>
        <w:rPr>
          <w:rFonts w:ascii="方正仿宋_GBK" w:hAnsi="宋体" w:eastAsia="方正仿宋_GBK"/>
          <w:sz w:val="32"/>
          <w:szCs w:val="32"/>
        </w:rPr>
      </w:pPr>
    </w:p>
    <w:sectPr>
      <w:footerReference r:id="rId3" w:type="default"/>
      <w:footerReference r:id="rId4" w:type="even"/>
      <w:pgSz w:w="11906" w:h="16838"/>
      <w:pgMar w:top="1440" w:right="1803" w:bottom="1440" w:left="1803" w:header="851" w:footer="1587"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EC8FF">
    <w:pPr>
      <w:pStyle w:val="2"/>
      <w:framePr w:wrap="around" w:vAnchor="text" w:hAnchor="margin" w:xAlign="outside" w:y="1"/>
      <w:rPr>
        <w:rStyle w:val="7"/>
        <w:rFonts w:ascii="方正仿宋_GBK" w:eastAsia="方正仿宋_GBK"/>
        <w:sz w:val="28"/>
        <w:szCs w:val="28"/>
      </w:rPr>
    </w:pPr>
    <w:r>
      <w:rPr>
        <w:rStyle w:val="7"/>
        <w:rFonts w:ascii="方正仿宋_GBK" w:eastAsia="方正仿宋_GBK"/>
        <w:sz w:val="28"/>
        <w:szCs w:val="28"/>
      </w:rPr>
      <w:fldChar w:fldCharType="begin"/>
    </w:r>
    <w:r>
      <w:rPr>
        <w:rStyle w:val="7"/>
        <w:rFonts w:ascii="方正仿宋_GBK" w:eastAsia="方正仿宋_GBK"/>
        <w:sz w:val="28"/>
        <w:szCs w:val="28"/>
      </w:rPr>
      <w:instrText xml:space="preserve">PAGE  </w:instrText>
    </w:r>
    <w:r>
      <w:rPr>
        <w:rStyle w:val="7"/>
        <w:rFonts w:ascii="方正仿宋_GBK" w:eastAsia="方正仿宋_GBK"/>
        <w:sz w:val="28"/>
        <w:szCs w:val="28"/>
      </w:rPr>
      <w:fldChar w:fldCharType="separate"/>
    </w:r>
    <w:r>
      <w:rPr>
        <w:rStyle w:val="7"/>
        <w:rFonts w:ascii="方正仿宋_GBK" w:eastAsia="方正仿宋_GBK"/>
        <w:sz w:val="28"/>
        <w:szCs w:val="28"/>
      </w:rPr>
      <w:t>- 24 -</w:t>
    </w:r>
    <w:r>
      <w:rPr>
        <w:rStyle w:val="7"/>
        <w:rFonts w:ascii="方正仿宋_GBK" w:eastAsia="方正仿宋_GBK"/>
        <w:sz w:val="28"/>
        <w:szCs w:val="28"/>
      </w:rPr>
      <w:fldChar w:fldCharType="end"/>
    </w:r>
  </w:p>
  <w:p w14:paraId="51D33441">
    <w:pPr>
      <w:pStyle w:val="2"/>
      <w:ind w:right="360" w:firstLine="360"/>
    </w:pPr>
  </w:p>
  <w:p w14:paraId="11ADAF6E">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11054">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14:paraId="467238F5">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trackRevisions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djYWM1Njc4ODJiMTgyNDk1MmFiNWFkYmExM2VhM2EifQ=="/>
  </w:docVars>
  <w:rsids>
    <w:rsidRoot w:val="003E3742"/>
    <w:rsid w:val="0007242A"/>
    <w:rsid w:val="00084773"/>
    <w:rsid w:val="000C2592"/>
    <w:rsid w:val="002162CA"/>
    <w:rsid w:val="00330EB1"/>
    <w:rsid w:val="003C37FE"/>
    <w:rsid w:val="003E3742"/>
    <w:rsid w:val="00415EFC"/>
    <w:rsid w:val="004500C9"/>
    <w:rsid w:val="0047340B"/>
    <w:rsid w:val="004D74F5"/>
    <w:rsid w:val="00566AA0"/>
    <w:rsid w:val="007F681C"/>
    <w:rsid w:val="008B3738"/>
    <w:rsid w:val="009A602E"/>
    <w:rsid w:val="00B053F6"/>
    <w:rsid w:val="00BD25EC"/>
    <w:rsid w:val="00CF26B3"/>
    <w:rsid w:val="00DB0498"/>
    <w:rsid w:val="00FD46AD"/>
    <w:rsid w:val="01ED5EB7"/>
    <w:rsid w:val="073A4EC4"/>
    <w:rsid w:val="079B0DD5"/>
    <w:rsid w:val="08A226A0"/>
    <w:rsid w:val="0A824EDD"/>
    <w:rsid w:val="0DD266E2"/>
    <w:rsid w:val="0FF37F5E"/>
    <w:rsid w:val="10DB2196"/>
    <w:rsid w:val="12A42615"/>
    <w:rsid w:val="165235BC"/>
    <w:rsid w:val="1B337414"/>
    <w:rsid w:val="1BCB60B7"/>
    <w:rsid w:val="1C1C062F"/>
    <w:rsid w:val="1C231C74"/>
    <w:rsid w:val="21432277"/>
    <w:rsid w:val="214A0A43"/>
    <w:rsid w:val="21D52A24"/>
    <w:rsid w:val="29A30C8C"/>
    <w:rsid w:val="2AA735B0"/>
    <w:rsid w:val="2C0C0FE1"/>
    <w:rsid w:val="2C3F05DB"/>
    <w:rsid w:val="2DA33793"/>
    <w:rsid w:val="2E2A5A9A"/>
    <w:rsid w:val="31120A01"/>
    <w:rsid w:val="32FAC414"/>
    <w:rsid w:val="369246C4"/>
    <w:rsid w:val="39291F72"/>
    <w:rsid w:val="3ABF1F27"/>
    <w:rsid w:val="3EA65BCC"/>
    <w:rsid w:val="3FC37A67"/>
    <w:rsid w:val="41D665CE"/>
    <w:rsid w:val="4321055C"/>
    <w:rsid w:val="433E7571"/>
    <w:rsid w:val="4EE229AA"/>
    <w:rsid w:val="4F50223C"/>
    <w:rsid w:val="50B23FE7"/>
    <w:rsid w:val="51796016"/>
    <w:rsid w:val="5D7B75A5"/>
    <w:rsid w:val="65BE5C42"/>
    <w:rsid w:val="662760C2"/>
    <w:rsid w:val="67E42CB4"/>
    <w:rsid w:val="6C7D1963"/>
    <w:rsid w:val="740C16F8"/>
    <w:rsid w:val="74C55EB4"/>
    <w:rsid w:val="75B73FE6"/>
    <w:rsid w:val="78442BB3"/>
    <w:rsid w:val="787415BC"/>
    <w:rsid w:val="792F53F6"/>
    <w:rsid w:val="7BDA492A"/>
    <w:rsid w:val="EFFA31B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9"/>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page number"/>
    <w:basedOn w:val="6"/>
    <w:qFormat/>
    <w:uiPriority w:val="99"/>
    <w:rPr>
      <w:rFonts w:cs="Times New Roman"/>
    </w:rPr>
  </w:style>
  <w:style w:type="character" w:customStyle="1" w:styleId="8">
    <w:name w:val="Footer Char"/>
    <w:basedOn w:val="6"/>
    <w:link w:val="2"/>
    <w:qFormat/>
    <w:locked/>
    <w:uiPriority w:val="99"/>
    <w:rPr>
      <w:rFonts w:cs="Times New Roman"/>
      <w:sz w:val="18"/>
      <w:szCs w:val="18"/>
    </w:rPr>
  </w:style>
  <w:style w:type="character" w:customStyle="1" w:styleId="9">
    <w:name w:val="Header Char"/>
    <w:basedOn w:val="6"/>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3</Pages>
  <Words>1633</Words>
  <Characters>1665</Characters>
  <Lines>0</Lines>
  <Paragraphs>0</Paragraphs>
  <TotalTime>0</TotalTime>
  <ScaleCrop>false</ScaleCrop>
  <LinksUpToDate>false</LinksUpToDate>
  <CharactersWithSpaces>1665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2020-09-27T10:55:00Z</dcterms:created>
  <dc:creator>倪朦</dc:creator>
  <cp:lastModifiedBy>曹宝亚</cp:lastModifiedBy>
  <cp:lastPrinted>2021-10-22T15:59:00Z</cp:lastPrinted>
  <dcterms:modified xsi:type="dcterms:W3CDTF">2024-10-17T00:17:55Z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605292E1B7A247FBBC2FA81C513E278D_12</vt:lpwstr>
  </property>
</Properties>
</file>