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BC" w:rsidRDefault="00976EC0">
      <w:pPr>
        <w:pStyle w:val="a6"/>
        <w:shd w:val="clear" w:color="auto" w:fill="FFFFFF"/>
        <w:spacing w:line="560" w:lineRule="exact"/>
        <w:rPr>
          <w:rFonts w:ascii="黑体" w:eastAsia="黑体" w:hAnsi="黑体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_GB2312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仿宋_GB2312" w:hint="eastAsia"/>
          <w:color w:val="000000"/>
          <w:sz w:val="32"/>
          <w:szCs w:val="32"/>
        </w:rPr>
        <w:t xml:space="preserve">1 </w:t>
      </w:r>
      <w:r>
        <w:rPr>
          <w:rFonts w:ascii="黑体" w:eastAsia="黑体" w:hAnsi="黑体" w:cs="仿宋_GB2312" w:hint="eastAsia"/>
          <w:color w:val="000000"/>
          <w:sz w:val="32"/>
          <w:szCs w:val="32"/>
        </w:rPr>
        <w:t>事前绩效评估报告</w:t>
      </w:r>
    </w:p>
    <w:p w:rsidR="004D0BBC" w:rsidRDefault="004D0BBC">
      <w:pPr>
        <w:pStyle w:val="a6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:rsidR="004D0BBC" w:rsidRDefault="004D0BBC">
      <w:pPr>
        <w:pStyle w:val="a6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:rsidR="004D0BBC" w:rsidRDefault="004D0BBC">
      <w:pPr>
        <w:pStyle w:val="a6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:rsidR="004D0BBC" w:rsidRDefault="004D0BBC">
      <w:pPr>
        <w:pStyle w:val="a6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:rsidR="004D0BBC" w:rsidRDefault="00976EC0">
      <w:pPr>
        <w:pStyle w:val="a6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事前绩效评估报告</w:t>
      </w:r>
    </w:p>
    <w:p w:rsidR="004D0BBC" w:rsidRDefault="004D0BBC">
      <w:pPr>
        <w:pStyle w:val="a6"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D0BBC" w:rsidRDefault="00976EC0">
      <w:pPr>
        <w:pStyle w:val="a6"/>
        <w:shd w:val="clear" w:color="auto" w:fill="FFFFFF"/>
        <w:spacing w:line="560" w:lineRule="exact"/>
        <w:ind w:firstLine="48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政策或项目名称：</w:t>
      </w:r>
    </w:p>
    <w:p w:rsidR="004D0BBC" w:rsidRDefault="00976EC0">
      <w:pPr>
        <w:pStyle w:val="a6"/>
        <w:shd w:val="clear" w:color="auto" w:fill="FFFFFF"/>
        <w:spacing w:line="560" w:lineRule="exact"/>
        <w:ind w:firstLine="48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单位名称（章）：</w:t>
      </w:r>
    </w:p>
    <w:p w:rsidR="004D0BBC" w:rsidRDefault="00976EC0">
      <w:pPr>
        <w:pStyle w:val="a6"/>
        <w:shd w:val="clear" w:color="auto" w:fill="FFFFFF"/>
        <w:spacing w:line="560" w:lineRule="exact"/>
        <w:ind w:firstLine="48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主管部门：安徽省教育厅</w:t>
      </w:r>
    </w:p>
    <w:p w:rsidR="004D0BBC" w:rsidRDefault="00976EC0">
      <w:pPr>
        <w:pStyle w:val="a6"/>
        <w:shd w:val="clear" w:color="auto" w:fill="FFFFFF"/>
        <w:spacing w:line="560" w:lineRule="exact"/>
        <w:ind w:firstLine="48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评估组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/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评估机构（章）：</w:t>
      </w:r>
    </w:p>
    <w:p w:rsidR="004D0BBC" w:rsidRDefault="00976EC0">
      <w:pPr>
        <w:pStyle w:val="a6"/>
        <w:shd w:val="clear" w:color="auto" w:fill="FFFFFF"/>
        <w:spacing w:line="560" w:lineRule="exact"/>
        <w:ind w:firstLine="48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评估日期：</w:t>
      </w:r>
    </w:p>
    <w:p w:rsidR="004D0BBC" w:rsidRDefault="004D0BBC">
      <w:pPr>
        <w:pStyle w:val="a6"/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D0BBC" w:rsidRDefault="004D0BBC">
      <w:pPr>
        <w:pStyle w:val="a6"/>
        <w:shd w:val="clear" w:color="auto" w:fill="FFFFFF"/>
        <w:spacing w:line="560" w:lineRule="exact"/>
        <w:ind w:firstLine="48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D0BBC" w:rsidRDefault="004D0BBC">
      <w:pPr>
        <w:pStyle w:val="a6"/>
        <w:shd w:val="clear" w:color="auto" w:fill="FFFFFF"/>
        <w:spacing w:line="560" w:lineRule="exact"/>
        <w:ind w:firstLine="48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D0BBC" w:rsidRDefault="004D0BBC">
      <w:pPr>
        <w:pStyle w:val="a6"/>
        <w:shd w:val="clear" w:color="auto" w:fill="FFFFFF"/>
        <w:spacing w:line="560" w:lineRule="exact"/>
        <w:ind w:firstLine="48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D0BBC" w:rsidRDefault="004D0BBC">
      <w:pPr>
        <w:pStyle w:val="a6"/>
        <w:shd w:val="clear" w:color="auto" w:fill="FFFFFF"/>
        <w:spacing w:line="560" w:lineRule="exact"/>
        <w:ind w:firstLine="48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D0BBC" w:rsidRDefault="004D0BBC">
      <w:pPr>
        <w:pStyle w:val="a6"/>
        <w:shd w:val="clear" w:color="auto" w:fill="FFFFFF"/>
        <w:spacing w:line="560" w:lineRule="exact"/>
        <w:ind w:firstLine="48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D0BBC" w:rsidRDefault="004D0BBC">
      <w:pPr>
        <w:pStyle w:val="a6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:rsidR="004D0BBC" w:rsidRDefault="004D0BBC">
      <w:pPr>
        <w:pStyle w:val="a6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:rsidR="004D0BBC" w:rsidRDefault="004D0BBC">
      <w:pPr>
        <w:pStyle w:val="a6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:rsidR="004D0BBC" w:rsidRDefault="004D0BBC">
      <w:pPr>
        <w:pStyle w:val="a6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:rsidR="004D0BBC" w:rsidRDefault="00976EC0">
      <w:pPr>
        <w:pStyle w:val="a6"/>
        <w:shd w:val="clear" w:color="auto" w:fill="FFFFFF"/>
        <w:spacing w:line="0" w:lineRule="atLeast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44"/>
          <w:szCs w:val="44"/>
        </w:rPr>
        <w:lastRenderedPageBreak/>
        <w:t>事前绩效评估报告</w:t>
      </w:r>
    </w:p>
    <w:p w:rsidR="004D0BBC" w:rsidRDefault="004D0BBC">
      <w:pPr>
        <w:pStyle w:val="a6"/>
        <w:shd w:val="clear" w:color="auto" w:fill="FFFFFF"/>
        <w:spacing w:line="52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</w:p>
    <w:p w:rsidR="004D0BBC" w:rsidRDefault="00976EC0">
      <w:pPr>
        <w:pStyle w:val="a6"/>
        <w:shd w:val="clear" w:color="auto" w:fill="FFFFFF"/>
        <w:spacing w:line="52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一、评估对象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（一）项目名称：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（二）项目绩效目标：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（三）项目资金构成：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（四）项目概况：</w:t>
      </w:r>
    </w:p>
    <w:p w:rsidR="004D0BBC" w:rsidRDefault="00976EC0">
      <w:pPr>
        <w:pStyle w:val="a6"/>
        <w:shd w:val="clear" w:color="auto" w:fill="FFFFFF"/>
        <w:spacing w:line="52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二、事前绩效评估的基本情况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bookmarkStart w:id="1" w:name="_Hlk110500736"/>
      <w:r>
        <w:rPr>
          <w:rFonts w:hint="eastAsia"/>
          <w:color w:val="333333"/>
          <w:shd w:val="clear" w:color="auto" w:fill="FFFFFF"/>
        </w:rPr>
        <w:t>（一）评估程序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1.</w:t>
      </w:r>
      <w:r>
        <w:rPr>
          <w:rFonts w:hint="eastAsia"/>
          <w:color w:val="333333"/>
          <w:shd w:val="clear" w:color="auto" w:fill="FFFFFF"/>
        </w:rPr>
        <w:t>事前评估准备阶段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</w:t>
      </w:r>
      <w:r>
        <w:rPr>
          <w:rFonts w:hint="eastAsia"/>
          <w:color w:val="333333"/>
          <w:shd w:val="clear" w:color="auto" w:fill="FFFFFF"/>
        </w:rPr>
        <w:t>1</w:t>
      </w:r>
      <w:r>
        <w:rPr>
          <w:rFonts w:hint="eastAsia"/>
          <w:color w:val="333333"/>
          <w:shd w:val="clear" w:color="auto" w:fill="FFFFFF"/>
        </w:rPr>
        <w:t>）确定评估对象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</w:t>
      </w:r>
      <w:r>
        <w:rPr>
          <w:rFonts w:hint="eastAsia"/>
          <w:color w:val="333333"/>
          <w:shd w:val="clear" w:color="auto" w:fill="FFFFFF"/>
        </w:rPr>
        <w:t>2</w:t>
      </w:r>
      <w:r>
        <w:rPr>
          <w:rFonts w:hint="eastAsia"/>
          <w:color w:val="333333"/>
          <w:shd w:val="clear" w:color="auto" w:fill="FFFFFF"/>
        </w:rPr>
        <w:t>）成立评估工作组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</w:t>
      </w:r>
      <w:r>
        <w:rPr>
          <w:rFonts w:hint="eastAsia"/>
          <w:color w:val="333333"/>
          <w:shd w:val="clear" w:color="auto" w:fill="FFFFFF"/>
        </w:rPr>
        <w:t>3</w:t>
      </w:r>
      <w:r>
        <w:rPr>
          <w:rFonts w:hint="eastAsia"/>
          <w:color w:val="333333"/>
          <w:shd w:val="clear" w:color="auto" w:fill="FFFFFF"/>
        </w:rPr>
        <w:t>）制定评估方案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2</w:t>
      </w:r>
      <w:r>
        <w:rPr>
          <w:color w:val="333333"/>
          <w:shd w:val="clear" w:color="auto" w:fill="FFFFFF"/>
        </w:rPr>
        <w:t>.</w:t>
      </w:r>
      <w:r>
        <w:rPr>
          <w:rFonts w:hint="eastAsia"/>
          <w:color w:val="333333"/>
          <w:shd w:val="clear" w:color="auto" w:fill="FFFFFF"/>
        </w:rPr>
        <w:t>事前评估实施阶段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</w:t>
      </w:r>
      <w:r>
        <w:rPr>
          <w:rFonts w:hint="eastAsia"/>
          <w:color w:val="333333"/>
          <w:shd w:val="clear" w:color="auto" w:fill="FFFFFF"/>
        </w:rPr>
        <w:t>1</w:t>
      </w:r>
      <w:r>
        <w:rPr>
          <w:rFonts w:hint="eastAsia"/>
          <w:color w:val="333333"/>
          <w:shd w:val="clear" w:color="auto" w:fill="FFFFFF"/>
        </w:rPr>
        <w:t>）组建专家组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</w:t>
      </w:r>
      <w:r>
        <w:rPr>
          <w:rFonts w:hint="eastAsia"/>
          <w:color w:val="333333"/>
          <w:shd w:val="clear" w:color="auto" w:fill="FFFFFF"/>
        </w:rPr>
        <w:t>2</w:t>
      </w:r>
      <w:r>
        <w:rPr>
          <w:rFonts w:hint="eastAsia"/>
          <w:color w:val="333333"/>
          <w:shd w:val="clear" w:color="auto" w:fill="FFFFFF"/>
        </w:rPr>
        <w:t>）收集审核资料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</w:t>
      </w:r>
      <w:r>
        <w:rPr>
          <w:rFonts w:hint="eastAsia"/>
          <w:color w:val="333333"/>
          <w:shd w:val="clear" w:color="auto" w:fill="FFFFFF"/>
        </w:rPr>
        <w:t>3</w:t>
      </w:r>
      <w:r>
        <w:rPr>
          <w:rFonts w:hint="eastAsia"/>
          <w:color w:val="333333"/>
          <w:shd w:val="clear" w:color="auto" w:fill="FFFFFF"/>
        </w:rPr>
        <w:t>）现场调研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</w:t>
      </w:r>
      <w:r>
        <w:rPr>
          <w:rFonts w:hint="eastAsia"/>
          <w:color w:val="333333"/>
          <w:shd w:val="clear" w:color="auto" w:fill="FFFFFF"/>
        </w:rPr>
        <w:t>4</w:t>
      </w:r>
      <w:r>
        <w:rPr>
          <w:rFonts w:hint="eastAsia"/>
          <w:color w:val="333333"/>
          <w:shd w:val="clear" w:color="auto" w:fill="FFFFFF"/>
        </w:rPr>
        <w:t>）开展预评估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</w:t>
      </w:r>
      <w:r>
        <w:rPr>
          <w:rFonts w:hint="eastAsia"/>
          <w:color w:val="333333"/>
          <w:shd w:val="clear" w:color="auto" w:fill="FFFFFF"/>
        </w:rPr>
        <w:t>5</w:t>
      </w:r>
      <w:r>
        <w:rPr>
          <w:rFonts w:hint="eastAsia"/>
          <w:color w:val="333333"/>
          <w:shd w:val="clear" w:color="auto" w:fill="FFFFFF"/>
        </w:rPr>
        <w:t>）开展正式评估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3</w:t>
      </w:r>
      <w:r>
        <w:rPr>
          <w:color w:val="333333"/>
          <w:shd w:val="clear" w:color="auto" w:fill="FFFFFF"/>
        </w:rPr>
        <w:t>.</w:t>
      </w:r>
      <w:r>
        <w:rPr>
          <w:rFonts w:hint="eastAsia"/>
          <w:color w:val="333333"/>
          <w:shd w:val="clear" w:color="auto" w:fill="FFFFFF"/>
        </w:rPr>
        <w:t>事前评估总结及应用阶段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（二）评估思路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lastRenderedPageBreak/>
        <w:t>1</w:t>
      </w:r>
      <w:r>
        <w:rPr>
          <w:color w:val="333333"/>
          <w:shd w:val="clear" w:color="auto" w:fill="FFFFFF"/>
        </w:rPr>
        <w:t>.</w:t>
      </w:r>
      <w:r>
        <w:rPr>
          <w:rFonts w:hint="eastAsia"/>
          <w:color w:val="333333"/>
          <w:shd w:val="clear" w:color="auto" w:fill="FFFFFF"/>
        </w:rPr>
        <w:t>事前绩效评估目的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2</w:t>
      </w:r>
      <w:r>
        <w:rPr>
          <w:color w:val="333333"/>
          <w:shd w:val="clear" w:color="auto" w:fill="FFFFFF"/>
        </w:rPr>
        <w:t>.</w:t>
      </w:r>
      <w:r>
        <w:rPr>
          <w:rFonts w:hint="eastAsia"/>
          <w:color w:val="333333"/>
          <w:shd w:val="clear" w:color="auto" w:fill="FFFFFF"/>
        </w:rPr>
        <w:t>事前绩效评估对象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3</w:t>
      </w:r>
      <w:r>
        <w:rPr>
          <w:color w:val="333333"/>
          <w:shd w:val="clear" w:color="auto" w:fill="FFFFFF"/>
        </w:rPr>
        <w:t>.</w:t>
      </w:r>
      <w:r>
        <w:rPr>
          <w:rFonts w:hint="eastAsia"/>
          <w:color w:val="333333"/>
          <w:shd w:val="clear" w:color="auto" w:fill="FFFFFF"/>
        </w:rPr>
        <w:t>事前绩效评估依据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</w:t>
      </w:r>
      <w:r>
        <w:rPr>
          <w:rFonts w:hint="eastAsia"/>
          <w:color w:val="333333"/>
          <w:shd w:val="clear" w:color="auto" w:fill="FFFFFF"/>
        </w:rPr>
        <w:t>1</w:t>
      </w:r>
      <w:r>
        <w:rPr>
          <w:rFonts w:hint="eastAsia"/>
          <w:color w:val="333333"/>
          <w:shd w:val="clear" w:color="auto" w:fill="FFFFFF"/>
        </w:rPr>
        <w:t>）《中华人民共和国预算法》；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</w:t>
      </w:r>
      <w:r>
        <w:rPr>
          <w:rFonts w:hint="eastAsia"/>
          <w:color w:val="333333"/>
          <w:shd w:val="clear" w:color="auto" w:fill="FFFFFF"/>
        </w:rPr>
        <w:t>2</w:t>
      </w:r>
      <w:r>
        <w:rPr>
          <w:rFonts w:hint="eastAsia"/>
          <w:color w:val="333333"/>
          <w:shd w:val="clear" w:color="auto" w:fill="FFFFFF"/>
        </w:rPr>
        <w:t>）《中华人民共和国预算法实施条例》；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</w:t>
      </w:r>
      <w:r>
        <w:rPr>
          <w:rFonts w:hint="eastAsia"/>
          <w:color w:val="333333"/>
          <w:shd w:val="clear" w:color="auto" w:fill="FFFFFF"/>
        </w:rPr>
        <w:t>3</w:t>
      </w:r>
      <w:r>
        <w:rPr>
          <w:rFonts w:hint="eastAsia"/>
          <w:color w:val="333333"/>
          <w:shd w:val="clear" w:color="auto" w:fill="FFFFFF"/>
        </w:rPr>
        <w:t>）《中共中央</w:t>
      </w:r>
      <w:r>
        <w:rPr>
          <w:rFonts w:hint="eastAsia"/>
          <w:color w:val="333333"/>
          <w:shd w:val="clear" w:color="auto" w:fill="FFFFFF"/>
        </w:rPr>
        <w:t xml:space="preserve"> </w:t>
      </w:r>
      <w:r>
        <w:rPr>
          <w:rFonts w:hint="eastAsia"/>
          <w:color w:val="333333"/>
          <w:shd w:val="clear" w:color="auto" w:fill="FFFFFF"/>
        </w:rPr>
        <w:t>国务院关于全面实施预算绩效管理的意见》（中发〔</w:t>
      </w:r>
      <w:r>
        <w:rPr>
          <w:rFonts w:hint="eastAsia"/>
          <w:color w:val="333333"/>
          <w:shd w:val="clear" w:color="auto" w:fill="FFFFFF"/>
        </w:rPr>
        <w:t>201</w:t>
      </w:r>
      <w:r>
        <w:rPr>
          <w:color w:val="333333"/>
          <w:shd w:val="clear" w:color="auto" w:fill="FFFFFF"/>
        </w:rPr>
        <w:t>8</w:t>
      </w:r>
      <w:r>
        <w:rPr>
          <w:rFonts w:hint="eastAsia"/>
          <w:color w:val="333333"/>
          <w:shd w:val="clear" w:color="auto" w:fill="FFFFFF"/>
        </w:rPr>
        <w:t>〕</w:t>
      </w:r>
      <w:r>
        <w:rPr>
          <w:color w:val="333333"/>
          <w:shd w:val="clear" w:color="auto" w:fill="FFFFFF"/>
        </w:rPr>
        <w:t>34</w:t>
      </w:r>
      <w:r>
        <w:rPr>
          <w:rFonts w:hint="eastAsia"/>
          <w:color w:val="333333"/>
          <w:shd w:val="clear" w:color="auto" w:fill="FFFFFF"/>
        </w:rPr>
        <w:t>号）；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</w:t>
      </w:r>
      <w:r>
        <w:rPr>
          <w:rFonts w:hint="eastAsia"/>
          <w:color w:val="333333"/>
          <w:shd w:val="clear" w:color="auto" w:fill="FFFFFF"/>
        </w:rPr>
        <w:t>4</w:t>
      </w:r>
      <w:r>
        <w:rPr>
          <w:rFonts w:hint="eastAsia"/>
          <w:color w:val="333333"/>
          <w:shd w:val="clear" w:color="auto" w:fill="FFFFFF"/>
        </w:rPr>
        <w:t>）《财政部关于印发〈项目指出绩效评价管理办法〉的通知》（财预〔</w:t>
      </w:r>
      <w:r>
        <w:rPr>
          <w:rFonts w:hint="eastAsia"/>
          <w:color w:val="333333"/>
          <w:shd w:val="clear" w:color="auto" w:fill="FFFFFF"/>
        </w:rPr>
        <w:t>20</w:t>
      </w:r>
      <w:r>
        <w:rPr>
          <w:color w:val="333333"/>
          <w:shd w:val="clear" w:color="auto" w:fill="FFFFFF"/>
        </w:rPr>
        <w:t>20</w:t>
      </w:r>
      <w:r>
        <w:rPr>
          <w:rFonts w:hint="eastAsia"/>
          <w:color w:val="333333"/>
          <w:shd w:val="clear" w:color="auto" w:fill="FFFFFF"/>
        </w:rPr>
        <w:t>〕</w:t>
      </w:r>
      <w:r>
        <w:rPr>
          <w:color w:val="333333"/>
          <w:shd w:val="clear" w:color="auto" w:fill="FFFFFF"/>
        </w:rPr>
        <w:t>10</w:t>
      </w:r>
      <w:r>
        <w:rPr>
          <w:rFonts w:hint="eastAsia"/>
          <w:color w:val="333333"/>
          <w:shd w:val="clear" w:color="auto" w:fill="FFFFFF"/>
        </w:rPr>
        <w:t>号）；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</w:t>
      </w:r>
      <w:r>
        <w:rPr>
          <w:rFonts w:hint="eastAsia"/>
          <w:color w:val="333333"/>
          <w:shd w:val="clear" w:color="auto" w:fill="FFFFFF"/>
        </w:rPr>
        <w:t>5</w:t>
      </w:r>
      <w:r>
        <w:rPr>
          <w:rFonts w:hint="eastAsia"/>
          <w:color w:val="333333"/>
          <w:shd w:val="clear" w:color="auto" w:fill="FFFFFF"/>
        </w:rPr>
        <w:t>）《现代职业教育质量提升计划资金管理办法》（</w:t>
      </w:r>
      <w:proofErr w:type="gramStart"/>
      <w:r>
        <w:rPr>
          <w:rFonts w:hint="eastAsia"/>
          <w:color w:val="333333"/>
          <w:shd w:val="clear" w:color="auto" w:fill="FFFFFF"/>
        </w:rPr>
        <w:t>财教〔</w:t>
      </w:r>
      <w:r>
        <w:rPr>
          <w:rFonts w:hint="eastAsia"/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1</w:t>
      </w:r>
      <w:r>
        <w:rPr>
          <w:rFonts w:hint="eastAsia"/>
          <w:color w:val="333333"/>
          <w:shd w:val="clear" w:color="auto" w:fill="FFFFFF"/>
        </w:rPr>
        <w:t>〕</w:t>
      </w:r>
      <w:proofErr w:type="gramEnd"/>
      <w:r>
        <w:rPr>
          <w:color w:val="333333"/>
          <w:shd w:val="clear" w:color="auto" w:fill="FFFFFF"/>
        </w:rPr>
        <w:t>270</w:t>
      </w:r>
      <w:r>
        <w:rPr>
          <w:rFonts w:hint="eastAsia"/>
          <w:color w:val="333333"/>
          <w:shd w:val="clear" w:color="auto" w:fill="FFFFFF"/>
        </w:rPr>
        <w:t>号）；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</w:t>
      </w:r>
      <w:r>
        <w:rPr>
          <w:rFonts w:hint="eastAsia"/>
          <w:color w:val="333333"/>
          <w:shd w:val="clear" w:color="auto" w:fill="FFFFFF"/>
        </w:rPr>
        <w:t>6</w:t>
      </w:r>
      <w:r>
        <w:rPr>
          <w:rFonts w:hint="eastAsia"/>
          <w:color w:val="333333"/>
          <w:shd w:val="clear" w:color="auto" w:fill="FFFFFF"/>
        </w:rPr>
        <w:t>）《安徽省关于全民实施预算绩效管理的实施意见》（</w:t>
      </w:r>
      <w:proofErr w:type="gramStart"/>
      <w:r>
        <w:rPr>
          <w:rFonts w:hint="eastAsia"/>
          <w:color w:val="333333"/>
          <w:shd w:val="clear" w:color="auto" w:fill="FFFFFF"/>
        </w:rPr>
        <w:t>皖发〔</w:t>
      </w:r>
      <w:r>
        <w:rPr>
          <w:rFonts w:hint="eastAsia"/>
          <w:color w:val="333333"/>
          <w:shd w:val="clear" w:color="auto" w:fill="FFFFFF"/>
        </w:rPr>
        <w:t>20</w:t>
      </w:r>
      <w:r>
        <w:rPr>
          <w:color w:val="333333"/>
          <w:shd w:val="clear" w:color="auto" w:fill="FFFFFF"/>
        </w:rPr>
        <w:t>19</w:t>
      </w:r>
      <w:r>
        <w:rPr>
          <w:rFonts w:hint="eastAsia"/>
          <w:color w:val="333333"/>
          <w:shd w:val="clear" w:color="auto" w:fill="FFFFFF"/>
        </w:rPr>
        <w:t>〕</w:t>
      </w:r>
      <w:proofErr w:type="gramEnd"/>
      <w:r>
        <w:rPr>
          <w:rFonts w:hint="eastAsia"/>
          <w:color w:val="333333"/>
          <w:shd w:val="clear" w:color="auto" w:fill="FFFFFF"/>
        </w:rPr>
        <w:t>1</w:t>
      </w:r>
      <w:r>
        <w:rPr>
          <w:color w:val="333333"/>
          <w:shd w:val="clear" w:color="auto" w:fill="FFFFFF"/>
        </w:rPr>
        <w:t>1</w:t>
      </w:r>
      <w:r>
        <w:rPr>
          <w:rFonts w:hint="eastAsia"/>
          <w:color w:val="333333"/>
          <w:shd w:val="clear" w:color="auto" w:fill="FFFFFF"/>
        </w:rPr>
        <w:t>号）；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</w:t>
      </w:r>
      <w:r>
        <w:rPr>
          <w:rFonts w:hint="eastAsia"/>
          <w:color w:val="333333"/>
          <w:shd w:val="clear" w:color="auto" w:fill="FFFFFF"/>
        </w:rPr>
        <w:t>7</w:t>
      </w:r>
      <w:r>
        <w:rPr>
          <w:rFonts w:hint="eastAsia"/>
          <w:color w:val="333333"/>
          <w:shd w:val="clear" w:color="auto" w:fill="FFFFFF"/>
        </w:rPr>
        <w:t>）学院“十四五”事业发展规划、专项子规划和部门规划。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（三）评估方式、方法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1</w:t>
      </w:r>
      <w:r>
        <w:rPr>
          <w:color w:val="333333"/>
          <w:shd w:val="clear" w:color="auto" w:fill="FFFFFF"/>
        </w:rPr>
        <w:t>.</w:t>
      </w:r>
      <w:r>
        <w:rPr>
          <w:rFonts w:hint="eastAsia"/>
          <w:color w:val="333333"/>
          <w:shd w:val="clear" w:color="auto" w:fill="FFFFFF"/>
        </w:rPr>
        <w:t>事前绩效评估方式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2</w:t>
      </w:r>
      <w:r>
        <w:rPr>
          <w:color w:val="333333"/>
          <w:shd w:val="clear" w:color="auto" w:fill="FFFFFF"/>
        </w:rPr>
        <w:t>.</w:t>
      </w:r>
      <w:r>
        <w:rPr>
          <w:rFonts w:hint="eastAsia"/>
          <w:color w:val="333333"/>
          <w:shd w:val="clear" w:color="auto" w:fill="FFFFFF"/>
        </w:rPr>
        <w:t>事前绩效评估方法</w:t>
      </w:r>
    </w:p>
    <w:bookmarkEnd w:id="1"/>
    <w:p w:rsidR="004D0BBC" w:rsidRDefault="00976EC0">
      <w:pPr>
        <w:pStyle w:val="a6"/>
        <w:shd w:val="clear" w:color="auto" w:fill="FFFFFF"/>
        <w:spacing w:line="52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三、评估内容和结论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（一）立项必要性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（二）投入经济性</w:t>
      </w:r>
    </w:p>
    <w:p w:rsidR="004D0BBC" w:rsidRDefault="00976EC0">
      <w:pPr>
        <w:pStyle w:val="a6"/>
        <w:shd w:val="clear" w:color="auto" w:fill="FFFFFF"/>
        <w:spacing w:line="520" w:lineRule="exact"/>
        <w:ind w:left="640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（三）绩效目标合理性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lastRenderedPageBreak/>
        <w:t>（四）实施方案可行性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（五）筹资合</w:t>
      </w:r>
      <w:proofErr w:type="gramStart"/>
      <w:r>
        <w:rPr>
          <w:rFonts w:hint="eastAsia"/>
          <w:color w:val="333333"/>
          <w:shd w:val="clear" w:color="auto" w:fill="FFFFFF"/>
        </w:rPr>
        <w:t>规</w:t>
      </w:r>
      <w:proofErr w:type="gramEnd"/>
      <w:r>
        <w:rPr>
          <w:rFonts w:hint="eastAsia"/>
          <w:color w:val="333333"/>
          <w:shd w:val="clear" w:color="auto" w:fill="FFFFFF"/>
        </w:rPr>
        <w:t>性</w:t>
      </w:r>
    </w:p>
    <w:p w:rsidR="004D0BBC" w:rsidRDefault="00976EC0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（六）总体结论</w:t>
      </w:r>
    </w:p>
    <w:p w:rsidR="004D0BBC" w:rsidRDefault="00976EC0">
      <w:pPr>
        <w:pStyle w:val="a6"/>
        <w:numPr>
          <w:ilvl w:val="0"/>
          <w:numId w:val="1"/>
        </w:numPr>
        <w:shd w:val="clear" w:color="auto" w:fill="FFFFFF"/>
        <w:spacing w:line="52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评估的相关建议</w:t>
      </w:r>
    </w:p>
    <w:p w:rsidR="004D0BBC" w:rsidRDefault="00976EC0">
      <w:pPr>
        <w:pStyle w:val="a6"/>
        <w:shd w:val="clear" w:color="auto" w:fill="FFFFFF"/>
        <w:spacing w:line="52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五、其他需要说明的问题</w:t>
      </w:r>
    </w:p>
    <w:p w:rsidR="004D0BBC" w:rsidRDefault="00976EC0">
      <w:pPr>
        <w:pStyle w:val="a6"/>
        <w:shd w:val="clear" w:color="auto" w:fill="FFFFFF"/>
        <w:spacing w:line="520" w:lineRule="exact"/>
        <w:ind w:leftChars="200" w:left="640"/>
        <w:rPr>
          <w:color w:val="333333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六、评估人员签名</w:t>
      </w:r>
    </w:p>
    <w:p w:rsidR="004D0BBC" w:rsidRDefault="00976EC0">
      <w:pPr>
        <w:pStyle w:val="a6"/>
        <w:shd w:val="clear" w:color="auto" w:fill="FFFFFF"/>
        <w:spacing w:line="52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七、附件材料</w:t>
      </w:r>
    </w:p>
    <w:p w:rsidR="004D0BBC" w:rsidRDefault="004D0BBC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</w:p>
    <w:p w:rsidR="004D0BBC" w:rsidRDefault="004D0BBC">
      <w:pPr>
        <w:pStyle w:val="2"/>
        <w:rPr>
          <w:color w:val="333333"/>
          <w:shd w:val="clear" w:color="auto" w:fill="FFFFFF"/>
        </w:rPr>
      </w:pPr>
    </w:p>
    <w:p w:rsidR="004D0BBC" w:rsidRDefault="004D0BBC">
      <w:pPr>
        <w:rPr>
          <w:color w:val="333333"/>
          <w:shd w:val="clear" w:color="auto" w:fill="FFFFFF"/>
        </w:rPr>
      </w:pPr>
    </w:p>
    <w:p w:rsidR="004D0BBC" w:rsidRDefault="004D0BBC">
      <w:pPr>
        <w:pStyle w:val="2"/>
        <w:rPr>
          <w:color w:val="333333"/>
          <w:shd w:val="clear" w:color="auto" w:fill="FFFFFF"/>
        </w:rPr>
      </w:pPr>
    </w:p>
    <w:p w:rsidR="004D0BBC" w:rsidRDefault="004D0BBC"/>
    <w:p w:rsidR="004D0BBC" w:rsidRDefault="004D0BBC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</w:p>
    <w:p w:rsidR="004D0BBC" w:rsidRDefault="004D0BBC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</w:p>
    <w:p w:rsidR="004D0BBC" w:rsidRDefault="004D0BBC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</w:p>
    <w:p w:rsidR="004D0BBC" w:rsidRDefault="004D0BBC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</w:p>
    <w:p w:rsidR="004D0BBC" w:rsidRDefault="004D0BBC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</w:p>
    <w:p w:rsidR="004D0BBC" w:rsidRDefault="004D0BBC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</w:p>
    <w:p w:rsidR="004D0BBC" w:rsidRDefault="004D0BBC">
      <w:pPr>
        <w:adjustRightInd w:val="0"/>
        <w:snapToGrid w:val="0"/>
        <w:spacing w:line="600" w:lineRule="exact"/>
        <w:ind w:firstLineChars="200" w:firstLine="640"/>
        <w:rPr>
          <w:color w:val="333333"/>
          <w:shd w:val="clear" w:color="auto" w:fill="FFFFFF"/>
        </w:rPr>
      </w:pPr>
    </w:p>
    <w:p w:rsidR="004D0BBC" w:rsidRDefault="004D0BBC">
      <w:pPr>
        <w:pStyle w:val="a6"/>
        <w:shd w:val="clear" w:color="auto" w:fill="FFFFFF"/>
        <w:spacing w:line="520" w:lineRule="exact"/>
        <w:rPr>
          <w:rFonts w:ascii="黑体" w:eastAsia="黑体" w:hAnsi="黑体" w:cs="黑体"/>
          <w:color w:val="000000"/>
          <w:sz w:val="28"/>
          <w:szCs w:val="28"/>
        </w:rPr>
      </w:pPr>
    </w:p>
    <w:sectPr w:rsidR="004D0BBC">
      <w:pgSz w:w="11906" w:h="16838"/>
      <w:pgMar w:top="1984" w:right="1417" w:bottom="1984" w:left="1417" w:header="851" w:footer="992" w:gutter="0"/>
      <w:cols w:space="0"/>
      <w:docGrid w:type="lines" w:linePitch="4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EC0" w:rsidRDefault="00976EC0" w:rsidP="003507D4">
      <w:r>
        <w:separator/>
      </w:r>
    </w:p>
  </w:endnote>
  <w:endnote w:type="continuationSeparator" w:id="0">
    <w:p w:rsidR="00976EC0" w:rsidRDefault="00976EC0" w:rsidP="0035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EC0" w:rsidRDefault="00976EC0" w:rsidP="003507D4">
      <w:r>
        <w:separator/>
      </w:r>
    </w:p>
  </w:footnote>
  <w:footnote w:type="continuationSeparator" w:id="0">
    <w:p w:rsidR="00976EC0" w:rsidRDefault="00976EC0" w:rsidP="00350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476DEF"/>
    <w:multiLevelType w:val="singleLevel"/>
    <w:tmpl w:val="C6476DE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221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OTNiMTFiNDk2ZmQxNmNmNTkxOTY3ZTM3OTY4MWUifQ=="/>
  </w:docVars>
  <w:rsids>
    <w:rsidRoot w:val="00287FC2"/>
    <w:rsid w:val="F9F6E11E"/>
    <w:rsid w:val="00001E65"/>
    <w:rsid w:val="000677A9"/>
    <w:rsid w:val="000D377D"/>
    <w:rsid w:val="0015438A"/>
    <w:rsid w:val="00172650"/>
    <w:rsid w:val="00252BD4"/>
    <w:rsid w:val="002634C2"/>
    <w:rsid w:val="00282C5B"/>
    <w:rsid w:val="00287FC2"/>
    <w:rsid w:val="00293D9B"/>
    <w:rsid w:val="002A6096"/>
    <w:rsid w:val="003024FB"/>
    <w:rsid w:val="00321A7D"/>
    <w:rsid w:val="003507D4"/>
    <w:rsid w:val="003D244B"/>
    <w:rsid w:val="003D703E"/>
    <w:rsid w:val="00414986"/>
    <w:rsid w:val="004A3628"/>
    <w:rsid w:val="004D0BBC"/>
    <w:rsid w:val="0053746C"/>
    <w:rsid w:val="0056791B"/>
    <w:rsid w:val="0057298C"/>
    <w:rsid w:val="005E5BF1"/>
    <w:rsid w:val="005E71E3"/>
    <w:rsid w:val="00630F41"/>
    <w:rsid w:val="006C3798"/>
    <w:rsid w:val="00700742"/>
    <w:rsid w:val="00714343"/>
    <w:rsid w:val="007206C9"/>
    <w:rsid w:val="0072459A"/>
    <w:rsid w:val="007574BA"/>
    <w:rsid w:val="00772D12"/>
    <w:rsid w:val="007815C0"/>
    <w:rsid w:val="007A0656"/>
    <w:rsid w:val="007A3B77"/>
    <w:rsid w:val="007B31AD"/>
    <w:rsid w:val="007C0E63"/>
    <w:rsid w:val="007D221A"/>
    <w:rsid w:val="0081004F"/>
    <w:rsid w:val="0081715A"/>
    <w:rsid w:val="008559C4"/>
    <w:rsid w:val="00856280"/>
    <w:rsid w:val="008C23E7"/>
    <w:rsid w:val="008F60C8"/>
    <w:rsid w:val="00924CC0"/>
    <w:rsid w:val="00976EC0"/>
    <w:rsid w:val="00981902"/>
    <w:rsid w:val="009B4B1D"/>
    <w:rsid w:val="009B5427"/>
    <w:rsid w:val="00AA29FA"/>
    <w:rsid w:val="00AE6958"/>
    <w:rsid w:val="00AF2B1F"/>
    <w:rsid w:val="00B14680"/>
    <w:rsid w:val="00B24F25"/>
    <w:rsid w:val="00B31AB6"/>
    <w:rsid w:val="00B812B6"/>
    <w:rsid w:val="00BA099E"/>
    <w:rsid w:val="00C7280D"/>
    <w:rsid w:val="00CA31B7"/>
    <w:rsid w:val="00CF428F"/>
    <w:rsid w:val="00D31C5F"/>
    <w:rsid w:val="00D773C1"/>
    <w:rsid w:val="00D90290"/>
    <w:rsid w:val="00D92267"/>
    <w:rsid w:val="00D95C04"/>
    <w:rsid w:val="00E47E24"/>
    <w:rsid w:val="00E623D6"/>
    <w:rsid w:val="00E64A92"/>
    <w:rsid w:val="00E954D2"/>
    <w:rsid w:val="00E95BD6"/>
    <w:rsid w:val="00E9631B"/>
    <w:rsid w:val="00EF238A"/>
    <w:rsid w:val="00F46DC9"/>
    <w:rsid w:val="00FF1D9D"/>
    <w:rsid w:val="0B9E2E7A"/>
    <w:rsid w:val="1C313C4F"/>
    <w:rsid w:val="1D595DB3"/>
    <w:rsid w:val="27507E2B"/>
    <w:rsid w:val="2B0B7947"/>
    <w:rsid w:val="32011E56"/>
    <w:rsid w:val="375B1B8B"/>
    <w:rsid w:val="456632F8"/>
    <w:rsid w:val="52733EA6"/>
    <w:rsid w:val="52A94E3F"/>
    <w:rsid w:val="653724EA"/>
    <w:rsid w:val="6AD8316A"/>
    <w:rsid w:val="6B8267D6"/>
    <w:rsid w:val="6CCF4C33"/>
    <w:rsid w:val="75142DC0"/>
    <w:rsid w:val="7A52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rFonts w:eastAsia="宋体"/>
      <w:sz w:val="24"/>
      <w:szCs w:val="24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CharChar2CharCharCharCharCharCharCharCharCharCharCharChar">
    <w:name w:val="Char Char2 Char Char Char Char Char Char Char Char Char Char Char Char"/>
    <w:basedOn w:val="a"/>
    <w:qFormat/>
    <w:pPr>
      <w:widowControl/>
      <w:ind w:firstLineChars="257" w:firstLine="617"/>
      <w:jc w:val="left"/>
    </w:pPr>
    <w:rPr>
      <w:rFonts w:ascii="仿宋_GB2312" w:hAnsi="Tahoma" w:cs="Arial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Pr>
      <w:rFonts w:eastAsia="仿宋_GB2312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rFonts w:eastAsia="宋体"/>
      <w:sz w:val="24"/>
      <w:szCs w:val="24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CharChar2CharCharCharCharCharCharCharCharCharCharCharChar">
    <w:name w:val="Char Char2 Char Char Char Char Char Char Char Char Char Char Char Char"/>
    <w:basedOn w:val="a"/>
    <w:qFormat/>
    <w:pPr>
      <w:widowControl/>
      <w:ind w:firstLineChars="257" w:firstLine="617"/>
      <w:jc w:val="left"/>
    </w:pPr>
    <w:rPr>
      <w:rFonts w:ascii="仿宋_GB2312" w:hAnsi="Tahoma" w:cs="Arial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Pr>
      <w:rFonts w:eastAsia="仿宋_GB2312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李成名</dc:creator>
  <cp:lastModifiedBy>汪学龙</cp:lastModifiedBy>
  <cp:revision>2</cp:revision>
  <cp:lastPrinted>2022-08-04T04:19:00Z</cp:lastPrinted>
  <dcterms:created xsi:type="dcterms:W3CDTF">2023-02-01T08:51:00Z</dcterms:created>
  <dcterms:modified xsi:type="dcterms:W3CDTF">2023-02-01T08:51:00Z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8E6F62DD36C3434BADDFD1DDE82283E9</vt:lpwstr>
  </property>
</Properties>
</file>