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adjustRightInd w:val="0"/>
        <w:snapToGrid w:val="0"/>
        <w:spacing w:line="540" w:lineRule="exact"/>
        <w:rPr>
          <w:rFonts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880"/>
        <w:jc w:val="center"/>
        <w:textAlignment w:val="auto"/>
        <w:rPr>
          <w:rFonts w:ascii="方正小标宋简体" w:hAnsi="Calibri" w:eastAsia="方正小标宋简体"/>
          <w:color w:val="auto"/>
          <w:sz w:val="44"/>
          <w:szCs w:val="44"/>
          <w:highlight w:val="none"/>
        </w:rPr>
      </w:pPr>
      <w:bookmarkStart w:id="0" w:name="OLE_LINK1"/>
      <w:bookmarkStart w:id="1" w:name="OLE_LINK2"/>
      <w:r>
        <w:rPr>
          <w:rFonts w:hint="eastAsia" w:ascii="方正小标宋简体" w:hAnsi="Calibri" w:eastAsia="方正小标宋简体"/>
          <w:color w:val="auto"/>
          <w:sz w:val="44"/>
          <w:szCs w:val="44"/>
          <w:highlight w:val="none"/>
        </w:rPr>
        <w:t>安徽省大学生创新大赛（2</w:t>
      </w:r>
      <w:r>
        <w:rPr>
          <w:rFonts w:ascii="方正小标宋简体" w:hAnsi="Calibri" w:eastAsia="方正小标宋简体"/>
          <w:color w:val="auto"/>
          <w:sz w:val="44"/>
          <w:szCs w:val="44"/>
          <w:highlight w:val="none"/>
        </w:rPr>
        <w:t>02</w:t>
      </w:r>
      <w:r>
        <w:rPr>
          <w:rFonts w:hint="eastAsia" w:ascii="方正小标宋简体" w:hAnsi="Calibri" w:eastAsia="方正小标宋简体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Calibri" w:eastAsia="方正小标宋简体"/>
          <w:color w:val="auto"/>
          <w:sz w:val="44"/>
          <w:szCs w:val="44"/>
          <w:highlight w:val="none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880"/>
        <w:jc w:val="center"/>
        <w:textAlignment w:val="auto"/>
        <w:rPr>
          <w:rFonts w:ascii="方正小标宋简体" w:hAnsi="Calibri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Calibri" w:eastAsia="方正小标宋简体"/>
          <w:color w:val="auto"/>
          <w:sz w:val="44"/>
          <w:szCs w:val="44"/>
          <w:highlight w:val="none"/>
        </w:rPr>
        <w:t>职教赛道方案</w:t>
      </w:r>
      <w:bookmarkEnd w:id="0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</w:p>
    <w:p>
      <w:pPr>
        <w:snapToGrid w:val="0"/>
        <w:spacing w:line="54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安徽省大学生创新大赛（202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）设立职教赛道，面向在皖的普通高等学校，旨在推进职业教育领域创新创业教育改革，培养技术赋能、跨界融合的新时代大国工匠。具体工作方案如下。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参赛</w:t>
      </w:r>
      <w:r>
        <w:rPr>
          <w:rFonts w:hint="eastAsia" w:ascii="Times New Roman" w:hAnsi="Times New Roman" w:eastAsia="黑体"/>
          <w:sz w:val="32"/>
          <w:szCs w:val="32"/>
        </w:rPr>
        <w:t>项目要求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具有明确的技术、工艺或商业模式创新，突出商业运营潜力或实效，体现敬业、精益、专注、创新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等工匠精神内涵的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项目。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二、参赛方式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（一）职业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学</w:t>
      </w:r>
      <w:r>
        <w:rPr>
          <w:rFonts w:hint="eastAsia" w:ascii="Times New Roman" w:hAnsi="Times New Roman" w:eastAsia="仿宋_GB2312"/>
          <w:sz w:val="32"/>
          <w:szCs w:val="32"/>
        </w:rPr>
        <w:t>校（包括职业教育各层次学历教育，不含在职教育）、国家开放大学学生（仅限学历教育）可以报名参赛。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（二）大赛以团队为单位报名参赛。允许跨校组建团队，每个团队的参赛成员不少于3人，不多于15人（含团队负责人），</w:t>
      </w:r>
      <w:r>
        <w:rPr>
          <w:rFonts w:hint="eastAsia" w:ascii="Times New Roman" w:hAnsi="Times New Roman" w:eastAsia="仿宋_GB2312"/>
          <w:sz w:val="32"/>
          <w:szCs w:val="36"/>
        </w:rPr>
        <w:t>须为项目的实际核心成员</w:t>
      </w:r>
      <w:r>
        <w:rPr>
          <w:rFonts w:hint="eastAsia" w:ascii="Times New Roman" w:hAnsi="Times New Roman" w:eastAsia="仿宋_GB2312"/>
          <w:sz w:val="32"/>
          <w:szCs w:val="32"/>
        </w:rPr>
        <w:t>。参赛团队所报参赛创业项目，须为本团队策划或经营的项目，不得借用他人项目参赛。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三、参赛组别和对象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本赛道分为创意组与创业组。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（一）创意组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1.参赛项目具有较好的创意和较为成型的产品原型、服务模式或针对生产加工工艺进行创新的改良技术，在大赛通知下发之日前尚未完成工商等各类登记注册。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参赛申报人须为团队负责人，须为职业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学</w:t>
      </w:r>
      <w:r>
        <w:rPr>
          <w:rFonts w:hint="eastAsia" w:ascii="Times New Roman" w:hAnsi="Times New Roman" w:eastAsia="仿宋_GB2312"/>
          <w:sz w:val="32"/>
          <w:szCs w:val="32"/>
        </w:rPr>
        <w:t>校的全日制在校学生或国家开放大学学历教育在读学生。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学校科技成果转化项目不能参加本组比赛（科技成果的完成人、所有人中参赛申报人排名第一的除外）。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（二）创业组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参赛项目在大赛通知下发之日前已完成工商等各类登记注册。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参赛申报人须为企业法定代表人，须为职业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学</w:t>
      </w:r>
      <w:r>
        <w:rPr>
          <w:rFonts w:hint="eastAsia" w:ascii="Times New Roman" w:hAnsi="Times New Roman" w:eastAsia="仿宋_GB2312"/>
          <w:sz w:val="32"/>
          <w:szCs w:val="32"/>
        </w:rPr>
        <w:t>校全日制在校学生或毕业5年内的学生（即2020年之后的毕业生）、国家开放大学学历教育在读学生或毕业5年内的学生（即2020年6月之后的毕业生）。企业法人在大赛通知发布之日后进行变更的不予认可。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3.项目的股权结构中，企业法定代表人的股权不得少于10%，参赛团队成员股权合计不得少于1/3。</w:t>
      </w:r>
    </w:p>
    <w:p>
      <w:pPr>
        <w:snapToGrid w:val="0"/>
        <w:spacing w:line="5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四、奖项设置</w:t>
      </w:r>
    </w:p>
    <w:p>
      <w:pPr>
        <w:ind w:left="0" w:leftChars="0" w:firstLine="640" w:firstLineChars="200"/>
        <w:rPr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本赛道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计划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设置金奖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65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 个、银奖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130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 个、铜奖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325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 个。 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YjY4YzJlYmM1N2Y1MDYyY2Y1OTI1OTlmYTMwYjMifQ=="/>
  </w:docVars>
  <w:rsids>
    <w:rsidRoot w:val="46BC6B82"/>
    <w:rsid w:val="007E18FF"/>
    <w:rsid w:val="1DB721E6"/>
    <w:rsid w:val="2C5B50CF"/>
    <w:rsid w:val="3B1D33D5"/>
    <w:rsid w:val="46BC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792</Words>
  <Characters>821</Characters>
  <Lines>0</Lines>
  <Paragraphs>0</Paragraphs>
  <TotalTime>0</TotalTime>
  <ScaleCrop>false</ScaleCrop>
  <LinksUpToDate>false</LinksUpToDate>
  <CharactersWithSpaces>833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2025-05-06T06:25:00Z</dcterms:created>
  <dc:creator>刘鑫蕊</dc:creator>
  <cp:lastModifiedBy>刘鑫蕊</cp:lastModifiedBy>
  <dcterms:modified xsi:type="dcterms:W3CDTF">2025-05-08T01:48:14Z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4F94E0D6BBCD4385B1F602A3427EF534_13</vt:lpwstr>
  </property>
  <property fmtid="{D5CDD505-2E9C-101B-9397-08002B2CF9AE}" pid="4" name="KSOTemplateDocerSaveRecord">
    <vt:lpwstr>eyJoZGlkIjoiNDcxMjZjYzVjODk2MmYzNGFlNWE5NjQ4OGNkNjE3OGIiLCJ1c2VySWQiOiIyNDc0NjIyMDcifQ==</vt:lpwstr>
  </property>
</Properties>
</file>