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before="156" w:beforeLines="50" w:after="100" w:line="360" w:lineRule="auto"/>
        <w:contextualSpacing/>
        <w:jc w:val="center"/>
        <w:rPr>
          <w:rFonts w:ascii="黑体" w:eastAsia="黑体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color w:val="333333"/>
          <w:kern w:val="0"/>
          <w:sz w:val="32"/>
          <w:szCs w:val="2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4655185" cy="579120"/>
            <wp:effectExtent l="0" t="0" r="0" b="0"/>
            <wp:wrapTopAndBottom/>
            <wp:docPr id="1" name="图片 1" descr="5股份名称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股份名称标题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2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6"/>
          <w:szCs w:val="36"/>
        </w:rPr>
        <w:t>招聘简章</w:t>
      </w:r>
    </w:p>
    <w:p>
      <w:pPr>
        <w:widowControl/>
        <w:spacing w:before="156" w:beforeLines="50" w:line="360" w:lineRule="auto"/>
        <w:jc w:val="left"/>
        <w:rPr>
          <w:rFonts w:ascii="黑体" w:hAnsi="宋体" w:eastAsia="黑体" w:cs="宋体"/>
          <w:b/>
          <w:bCs/>
          <w:color w:val="333333"/>
          <w:kern w:val="0"/>
          <w:sz w:val="24"/>
        </w:rPr>
      </w:pPr>
      <w:r>
        <w:rPr>
          <w:rFonts w:hint="eastAsia" w:ascii="黑体" w:hAnsi="宋体" w:eastAsia="黑体" w:cs="宋体"/>
          <w:b/>
          <w:bCs/>
          <w:color w:val="333333"/>
          <w:kern w:val="0"/>
          <w:sz w:val="24"/>
        </w:rPr>
        <w:t>一、公司简介</w:t>
      </w:r>
    </w:p>
    <w:p>
      <w:pPr>
        <w:spacing w:line="360" w:lineRule="auto"/>
        <w:ind w:firstLine="440" w:firstLineChars="200"/>
        <w:rPr>
          <w:rFonts w:hint="eastAsia" w:ascii="微软雅黑" w:hAnsi="微软雅黑" w:eastAsia="微软雅黑" w:cs="宋体"/>
          <w:kern w:val="0"/>
          <w:sz w:val="24"/>
        </w:rPr>
      </w:pPr>
      <w:r>
        <w:rPr>
          <w:rFonts w:hint="eastAsia" w:ascii="仿宋" w:hAnsi="仿宋" w:eastAsia="仿宋" w:cs="宋体"/>
          <w:sz w:val="22"/>
          <w:szCs w:val="22"/>
        </w:rPr>
        <w:t>江苏扬农化工股份有限公司成立于1999年，2</w:t>
      </w:r>
      <w:r>
        <w:rPr>
          <w:rFonts w:ascii="仿宋" w:hAnsi="仿宋" w:eastAsia="仿宋" w:cs="宋体"/>
          <w:sz w:val="22"/>
          <w:szCs w:val="22"/>
        </w:rPr>
        <w:t>002</w:t>
      </w:r>
      <w:r>
        <w:rPr>
          <w:rFonts w:hint="eastAsia" w:ascii="仿宋" w:hAnsi="仿宋" w:eastAsia="仿宋" w:cs="宋体"/>
          <w:sz w:val="22"/>
          <w:szCs w:val="22"/>
        </w:rPr>
        <w:t>年在上海证券交易所上市（股票名称：扬农化工，股票代码：6</w:t>
      </w:r>
      <w:r>
        <w:rPr>
          <w:rFonts w:ascii="仿宋" w:hAnsi="仿宋" w:eastAsia="仿宋" w:cs="宋体"/>
          <w:sz w:val="22"/>
          <w:szCs w:val="22"/>
        </w:rPr>
        <w:t>00486</w:t>
      </w:r>
      <w:r>
        <w:rPr>
          <w:rFonts w:hint="eastAsia" w:ascii="仿宋" w:hAnsi="仿宋" w:eastAsia="仿宋" w:cs="宋体"/>
          <w:sz w:val="22"/>
          <w:szCs w:val="22"/>
        </w:rPr>
        <w:t>）。 “世界5</w:t>
      </w:r>
      <w:r>
        <w:rPr>
          <w:rFonts w:ascii="仿宋" w:hAnsi="仿宋" w:eastAsia="仿宋" w:cs="宋体"/>
          <w:sz w:val="22"/>
          <w:szCs w:val="22"/>
        </w:rPr>
        <w:t>00</w:t>
      </w:r>
      <w:r>
        <w:rPr>
          <w:rFonts w:hint="eastAsia" w:ascii="仿宋" w:hAnsi="仿宋" w:eastAsia="仿宋" w:cs="宋体"/>
          <w:sz w:val="22"/>
          <w:szCs w:val="22"/>
        </w:rPr>
        <w:t>强”中国中化旗下成员企业，先正达集团中国（S</w:t>
      </w:r>
      <w:r>
        <w:rPr>
          <w:rFonts w:ascii="仿宋" w:hAnsi="仿宋" w:eastAsia="仿宋" w:cs="宋体"/>
          <w:sz w:val="22"/>
          <w:szCs w:val="22"/>
        </w:rPr>
        <w:t>GC</w:t>
      </w:r>
      <w:r>
        <w:rPr>
          <w:rFonts w:hint="eastAsia" w:ascii="仿宋" w:hAnsi="仿宋" w:eastAsia="仿宋" w:cs="宋体"/>
          <w:sz w:val="22"/>
          <w:szCs w:val="22"/>
        </w:rPr>
        <w:t>）旗下植保领域核心企业，国内农化上市公司头部企业，全球最大的拟除虫菊酯原药供应商，2</w:t>
      </w:r>
      <w:r>
        <w:rPr>
          <w:rFonts w:ascii="仿宋" w:hAnsi="仿宋" w:eastAsia="仿宋" w:cs="宋体"/>
          <w:sz w:val="22"/>
          <w:szCs w:val="22"/>
        </w:rPr>
        <w:t>021</w:t>
      </w:r>
      <w:r>
        <w:rPr>
          <w:rFonts w:hint="eastAsia" w:ascii="仿宋" w:hAnsi="仿宋" w:eastAsia="仿宋" w:cs="宋体"/>
          <w:sz w:val="22"/>
          <w:szCs w:val="22"/>
        </w:rPr>
        <w:t>年全球农化企业十强中唯一的中国本土企业。公司现有员工3</w:t>
      </w:r>
      <w:r>
        <w:rPr>
          <w:rFonts w:ascii="仿宋" w:hAnsi="仿宋" w:eastAsia="仿宋" w:cs="宋体"/>
          <w:sz w:val="22"/>
          <w:szCs w:val="22"/>
        </w:rPr>
        <w:t>000</w:t>
      </w:r>
      <w:r>
        <w:rPr>
          <w:rFonts w:hint="eastAsia" w:ascii="仿宋" w:hAnsi="仿宋" w:eastAsia="仿宋" w:cs="宋体"/>
          <w:sz w:val="22"/>
          <w:szCs w:val="22"/>
        </w:rPr>
        <w:t>余人，旗下拥有农研公司、中化作物、中化农化、沈阳科创、优嘉植保、优士化学、优创植保8家子公司。</w:t>
      </w:r>
    </w:p>
    <w:p>
      <w:pPr>
        <w:spacing w:line="360" w:lineRule="auto"/>
        <w:ind w:firstLine="440" w:firstLineChars="200"/>
        <w:rPr>
          <w:rFonts w:ascii="仿宋" w:hAnsi="仿宋" w:eastAsia="仿宋" w:cs="宋体"/>
          <w:color w:val="000000"/>
          <w:sz w:val="22"/>
          <w:szCs w:val="22"/>
        </w:rPr>
      </w:pPr>
      <w:r>
        <w:rPr>
          <w:rFonts w:hint="eastAsia" w:ascii="仿宋" w:hAnsi="仿宋" w:eastAsia="仿宋" w:cs="宋体"/>
          <w:sz w:val="22"/>
          <w:szCs w:val="22"/>
        </w:rPr>
        <w:t>公司具有完整的研产销一体化运营体系。产品研发能力、生产制造能力、工程转化能力、</w:t>
      </w:r>
      <w:r>
        <w:rPr>
          <w:rFonts w:ascii="仿宋" w:hAnsi="仿宋" w:eastAsia="仿宋" w:cs="宋体"/>
          <w:sz w:val="22"/>
          <w:szCs w:val="22"/>
        </w:rPr>
        <w:t>HSE</w:t>
      </w:r>
      <w:r>
        <w:rPr>
          <w:rFonts w:hint="eastAsia" w:ascii="仿宋" w:hAnsi="仿宋" w:eastAsia="仿宋" w:cs="宋体"/>
          <w:sz w:val="22"/>
          <w:szCs w:val="22"/>
        </w:rPr>
        <w:t>管控能力居行业领先水平。公司是</w:t>
      </w:r>
      <w:r>
        <w:rPr>
          <w:rFonts w:hint="eastAsia" w:ascii="仿宋" w:hAnsi="仿宋" w:eastAsia="仿宋" w:cs="宋体"/>
          <w:color w:val="000000"/>
          <w:sz w:val="22"/>
          <w:szCs w:val="22"/>
        </w:rPr>
        <w:t>多家跨国公司的核心供应商，产品远销全球8</w:t>
      </w:r>
      <w:r>
        <w:rPr>
          <w:rFonts w:ascii="仿宋" w:hAnsi="仿宋" w:eastAsia="仿宋" w:cs="宋体"/>
          <w:color w:val="000000"/>
          <w:sz w:val="22"/>
          <w:szCs w:val="22"/>
        </w:rPr>
        <w:t>0</w:t>
      </w:r>
      <w:r>
        <w:rPr>
          <w:rFonts w:hint="eastAsia" w:ascii="仿宋" w:hAnsi="仿宋" w:eastAsia="仿宋" w:cs="宋体"/>
          <w:color w:val="000000"/>
          <w:sz w:val="22"/>
          <w:szCs w:val="22"/>
        </w:rPr>
        <w:t>多个国家和地区。公司销售业绩位列全国农化行业第二名。</w:t>
      </w:r>
    </w:p>
    <w:p>
      <w:pPr>
        <w:widowControl/>
        <w:spacing w:before="156" w:beforeLines="50" w:line="360" w:lineRule="auto"/>
        <w:jc w:val="left"/>
        <w:rPr>
          <w:rFonts w:ascii="黑体" w:hAnsi="宋体" w:eastAsia="黑体" w:cs="宋体"/>
          <w:b/>
          <w:bCs/>
          <w:color w:val="333333"/>
          <w:kern w:val="0"/>
          <w:sz w:val="24"/>
        </w:rPr>
      </w:pPr>
      <w:r>
        <w:rPr>
          <w:rFonts w:hint="eastAsia" w:ascii="黑体" w:hAnsi="宋体" w:eastAsia="黑体" w:cs="宋体"/>
          <w:b/>
          <w:bCs/>
          <w:color w:val="333333"/>
          <w:kern w:val="0"/>
          <w:sz w:val="24"/>
        </w:rPr>
        <w:t>二、工作地点</w:t>
      </w:r>
    </w:p>
    <w:p>
      <w:pPr>
        <w:spacing w:line="360" w:lineRule="auto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江苏省（南通市如东县沿海经济开发区、仪征市、扬州市）</w:t>
      </w:r>
    </w:p>
    <w:p>
      <w:pPr>
        <w:spacing w:line="360" w:lineRule="auto"/>
        <w:rPr>
          <w:rFonts w:ascii="黑体" w:hAnsi="宋体" w:eastAsia="黑体" w:cs="宋体"/>
          <w:b/>
          <w:bCs/>
          <w:color w:val="333333"/>
          <w:kern w:val="0"/>
          <w:sz w:val="24"/>
        </w:rPr>
      </w:pPr>
      <w:r>
        <w:rPr>
          <w:rFonts w:hint="eastAsia" w:ascii="黑体" w:hAnsi="宋体" w:eastAsia="黑体" w:cs="宋体"/>
          <w:b/>
          <w:bCs/>
          <w:color w:val="333333"/>
          <w:kern w:val="0"/>
          <w:sz w:val="24"/>
        </w:rPr>
        <w:t>三、工作时间</w:t>
      </w:r>
    </w:p>
    <w:p>
      <w:pPr>
        <w:spacing w:line="360" w:lineRule="auto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上4天休4天、上2天休2天、常日班（双休）</w:t>
      </w:r>
    </w:p>
    <w:p>
      <w:pPr>
        <w:widowControl/>
        <w:spacing w:line="360" w:lineRule="auto"/>
        <w:jc w:val="left"/>
        <w:rPr>
          <w:rFonts w:ascii="黑体" w:hAnsi="宋体" w:eastAsia="黑体" w:cs="宋体"/>
          <w:b/>
          <w:bCs/>
          <w:color w:val="333333"/>
          <w:kern w:val="0"/>
          <w:sz w:val="24"/>
        </w:rPr>
      </w:pPr>
      <w:r>
        <w:rPr>
          <w:rFonts w:hint="eastAsia" w:ascii="黑体" w:hAnsi="宋体" w:eastAsia="黑体" w:cs="宋体"/>
          <w:b/>
          <w:bCs/>
          <w:color w:val="333333"/>
          <w:kern w:val="0"/>
          <w:sz w:val="24"/>
        </w:rPr>
        <w:t>四、招聘需求</w:t>
      </w:r>
    </w:p>
    <w:tbl>
      <w:tblPr>
        <w:tblStyle w:val="5"/>
        <w:tblW w:w="959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2606"/>
        <w:gridCol w:w="868"/>
        <w:gridCol w:w="2171"/>
        <w:gridCol w:w="26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  <w:t>职位类别</w:t>
            </w:r>
          </w:p>
        </w:tc>
        <w:tc>
          <w:tcPr>
            <w:tcW w:w="26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  <w:t>专业及其他要求</w:t>
            </w:r>
          </w:p>
        </w:tc>
        <w:tc>
          <w:tcPr>
            <w:tcW w:w="8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  <w:t>学历</w:t>
            </w:r>
          </w:p>
        </w:tc>
        <w:tc>
          <w:tcPr>
            <w:tcW w:w="21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  <w:t>培养方向</w:t>
            </w:r>
          </w:p>
        </w:tc>
        <w:tc>
          <w:tcPr>
            <w:tcW w:w="2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000000"/>
                <w:kern w:val="0"/>
                <w:sz w:val="22"/>
                <w:szCs w:val="22"/>
              </w:rPr>
              <w:t>薪资待遇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2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生产储备</w:t>
            </w:r>
          </w:p>
        </w:tc>
        <w:tc>
          <w:tcPr>
            <w:tcW w:w="26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化工/制药/机电/计算机等，能适应轮班工作制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大专</w:t>
            </w:r>
          </w:p>
        </w:tc>
        <w:tc>
          <w:tcPr>
            <w:tcW w:w="21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分析/核算/操作/消防/公共工程等</w:t>
            </w:r>
          </w:p>
        </w:tc>
        <w:tc>
          <w:tcPr>
            <w:tcW w:w="2655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kern w:val="0"/>
                <w:sz w:val="22"/>
                <w:szCs w:val="22"/>
              </w:rPr>
              <w:t>综合收入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kern w:val="0"/>
                <w:sz w:val="22"/>
                <w:szCs w:val="22"/>
              </w:rPr>
              <w:t>实习：</w:t>
            </w:r>
            <w:r>
              <w:rPr>
                <w:rFonts w:ascii="等线" w:hAnsi="等线" w:eastAsia="等线" w:cs="宋体"/>
                <w:kern w:val="0"/>
                <w:sz w:val="22"/>
                <w:szCs w:val="22"/>
              </w:rPr>
              <w:t>4500-6000</w:t>
            </w:r>
            <w:r>
              <w:rPr>
                <w:rFonts w:hint="eastAsia" w:ascii="等线" w:hAnsi="等线" w:eastAsia="等线" w:cs="宋体"/>
                <w:kern w:val="0"/>
                <w:sz w:val="22"/>
                <w:szCs w:val="22"/>
              </w:rPr>
              <w:t>元/月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kern w:val="0"/>
                <w:sz w:val="22"/>
                <w:szCs w:val="22"/>
              </w:rPr>
              <w:t>转正：</w:t>
            </w:r>
            <w:r>
              <w:rPr>
                <w:rFonts w:ascii="等线" w:hAnsi="等线" w:eastAsia="等线" w:cs="宋体"/>
                <w:kern w:val="0"/>
                <w:sz w:val="22"/>
                <w:szCs w:val="22"/>
              </w:rPr>
              <w:t>8000-10000</w:t>
            </w:r>
            <w:r>
              <w:rPr>
                <w:rFonts w:hint="eastAsia" w:ascii="等线" w:hAnsi="等线" w:eastAsia="等线" w:cs="宋体"/>
                <w:kern w:val="0"/>
                <w:sz w:val="22"/>
                <w:szCs w:val="22"/>
              </w:rPr>
              <w:t>元/月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kern w:val="0"/>
                <w:sz w:val="22"/>
                <w:szCs w:val="22"/>
              </w:rPr>
              <w:t>表现优秀的1</w:t>
            </w:r>
            <w:r>
              <w:rPr>
                <w:rFonts w:ascii="等线" w:hAnsi="等线" w:eastAsia="等线" w:cs="宋体"/>
                <w:kern w:val="0"/>
                <w:sz w:val="22"/>
                <w:szCs w:val="22"/>
              </w:rPr>
              <w:t>2-15</w:t>
            </w:r>
            <w:r>
              <w:rPr>
                <w:rFonts w:hint="eastAsia" w:ascii="等线" w:hAnsi="等线" w:eastAsia="等线" w:cs="宋体"/>
                <w:kern w:val="0"/>
                <w:sz w:val="22"/>
                <w:szCs w:val="22"/>
              </w:rPr>
              <w:t>万元/年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2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仪表工</w:t>
            </w:r>
          </w:p>
        </w:tc>
        <w:tc>
          <w:tcPr>
            <w:tcW w:w="26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电气/仪表/自动化等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大专</w:t>
            </w:r>
          </w:p>
        </w:tc>
        <w:tc>
          <w:tcPr>
            <w:tcW w:w="21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仪表维修</w:t>
            </w:r>
          </w:p>
        </w:tc>
        <w:tc>
          <w:tcPr>
            <w:tcW w:w="2655" w:type="dxa"/>
            <w:vMerge w:val="continue"/>
            <w:tcBorders>
              <w:left w:val="nil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2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保全工</w:t>
            </w:r>
          </w:p>
        </w:tc>
        <w:tc>
          <w:tcPr>
            <w:tcW w:w="26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化工机械/机电一体化/数控技术等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大专</w:t>
            </w:r>
          </w:p>
        </w:tc>
        <w:tc>
          <w:tcPr>
            <w:tcW w:w="21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  <w:t>设备维修</w:t>
            </w:r>
          </w:p>
        </w:tc>
        <w:tc>
          <w:tcPr>
            <w:tcW w:w="265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2"/>
                <w:szCs w:val="22"/>
              </w:rPr>
            </w:pPr>
          </w:p>
        </w:tc>
      </w:tr>
    </w:tbl>
    <w:p>
      <w:pPr>
        <w:widowControl/>
        <w:spacing w:line="380" w:lineRule="exact"/>
        <w:jc w:val="left"/>
        <w:rPr>
          <w:rFonts w:ascii="黑体" w:eastAsia="黑体"/>
          <w:sz w:val="24"/>
        </w:rPr>
      </w:pPr>
    </w:p>
    <w:p>
      <w:pPr>
        <w:pStyle w:val="10"/>
        <w:widowControl/>
        <w:numPr>
          <w:ilvl w:val="0"/>
          <w:numId w:val="1"/>
        </w:numPr>
        <w:spacing w:before="156" w:beforeLines="50" w:line="360" w:lineRule="auto"/>
        <w:ind w:firstLineChars="0"/>
        <w:jc w:val="left"/>
        <w:rPr>
          <w:rFonts w:ascii="黑体" w:hAnsi="宋体" w:eastAsia="黑体" w:cs="宋体"/>
          <w:bCs/>
          <w:color w:val="333333"/>
          <w:kern w:val="0"/>
          <w:sz w:val="24"/>
        </w:rPr>
      </w:pPr>
      <w:r>
        <w:rPr>
          <w:rFonts w:hint="eastAsia" w:ascii="黑体" w:hAnsi="宋体" w:eastAsia="黑体" w:cs="宋体"/>
          <w:b/>
          <w:bCs/>
          <w:color w:val="333333"/>
          <w:kern w:val="0"/>
          <w:sz w:val="24"/>
        </w:rPr>
        <w:t>薪酬福利</w:t>
      </w:r>
      <w:r>
        <w:rPr>
          <w:rFonts w:hint="eastAsia" w:ascii="黑体" w:hAnsi="宋体" w:eastAsia="黑体" w:cs="宋体"/>
          <w:bCs/>
          <w:color w:val="333333"/>
          <w:kern w:val="0"/>
          <w:sz w:val="24"/>
        </w:rPr>
        <w:t>（具体以公司相关制度为准）：</w:t>
      </w:r>
    </w:p>
    <w:p>
      <w:pPr>
        <w:spacing w:line="360" w:lineRule="auto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b/>
          <w:sz w:val="22"/>
          <w:szCs w:val="22"/>
        </w:rPr>
        <w:t>1、基本薪酬：</w:t>
      </w:r>
      <w:r>
        <w:rPr>
          <w:rFonts w:hint="eastAsia" w:ascii="仿宋_GB2312" w:eastAsia="仿宋_GB2312"/>
          <w:sz w:val="22"/>
          <w:szCs w:val="22"/>
        </w:rPr>
        <w:t>实行与岗位绩效、工作成果相挂钩的多元化分配激励制度。员工收入与公司业绩挂钩，在当年度公司业绩上升时对所有员工进行调资。</w:t>
      </w:r>
    </w:p>
    <w:p>
      <w:pPr>
        <w:tabs>
          <w:tab w:val="left" w:pos="1080"/>
        </w:tabs>
        <w:spacing w:line="360" w:lineRule="auto"/>
        <w:rPr>
          <w:rFonts w:ascii="仿宋_GB2312" w:eastAsia="仿宋_GB2312"/>
          <w:b/>
          <w:sz w:val="22"/>
          <w:szCs w:val="22"/>
        </w:rPr>
      </w:pPr>
      <w:r>
        <w:rPr>
          <w:rFonts w:hint="eastAsia" w:ascii="仿宋_GB2312" w:eastAsia="仿宋_GB2312"/>
          <w:b/>
          <w:sz w:val="22"/>
          <w:szCs w:val="22"/>
        </w:rPr>
        <w:t>2、激励政策：</w:t>
      </w:r>
    </w:p>
    <w:p>
      <w:pPr>
        <w:tabs>
          <w:tab w:val="left" w:pos="1080"/>
        </w:tabs>
        <w:spacing w:line="360" w:lineRule="auto"/>
        <w:ind w:firstLine="220" w:firstLineChars="100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（1）绩效奖励：</w:t>
      </w:r>
    </w:p>
    <w:p>
      <w:pPr>
        <w:tabs>
          <w:tab w:val="left" w:pos="1080"/>
        </w:tabs>
        <w:spacing w:line="360" w:lineRule="auto"/>
        <w:ind w:firstLine="440" w:firstLineChars="200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① 入司</w:t>
      </w:r>
      <w:r>
        <w:rPr>
          <w:rFonts w:ascii="仿宋_GB2312" w:eastAsia="仿宋_GB2312"/>
          <w:sz w:val="22"/>
          <w:szCs w:val="22"/>
        </w:rPr>
        <w:t>2</w:t>
      </w:r>
      <w:r>
        <w:rPr>
          <w:rFonts w:hint="eastAsia" w:ascii="仿宋_GB2312" w:eastAsia="仿宋_GB2312"/>
          <w:sz w:val="22"/>
          <w:szCs w:val="22"/>
        </w:rPr>
        <w:t>年以内，20%</w:t>
      </w:r>
      <w:r>
        <w:rPr>
          <w:rFonts w:ascii="仿宋_GB2312" w:eastAsia="仿宋_GB2312"/>
          <w:sz w:val="22"/>
          <w:szCs w:val="22"/>
        </w:rPr>
        <w:t>-35</w:t>
      </w:r>
      <w:r>
        <w:rPr>
          <w:rFonts w:hint="eastAsia" w:ascii="仿宋_GB2312" w:eastAsia="仿宋_GB2312"/>
          <w:sz w:val="22"/>
          <w:szCs w:val="22"/>
        </w:rPr>
        <w:t>%的人员可享1.2-1.5万元/年激励；</w:t>
      </w:r>
    </w:p>
    <w:p>
      <w:pPr>
        <w:tabs>
          <w:tab w:val="left" w:pos="1080"/>
        </w:tabs>
        <w:spacing w:line="360" w:lineRule="auto"/>
        <w:ind w:firstLine="440" w:firstLineChars="200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② 入司</w:t>
      </w:r>
      <w:r>
        <w:rPr>
          <w:rFonts w:ascii="仿宋_GB2312" w:eastAsia="仿宋_GB2312"/>
          <w:sz w:val="22"/>
          <w:szCs w:val="22"/>
        </w:rPr>
        <w:t>2</w:t>
      </w:r>
      <w:r>
        <w:rPr>
          <w:rFonts w:hint="eastAsia" w:ascii="仿宋_GB2312" w:eastAsia="仿宋_GB2312"/>
          <w:sz w:val="22"/>
          <w:szCs w:val="22"/>
        </w:rPr>
        <w:t>年及以上，3</w:t>
      </w:r>
      <w:r>
        <w:rPr>
          <w:rFonts w:ascii="仿宋_GB2312" w:eastAsia="仿宋_GB2312"/>
          <w:sz w:val="22"/>
          <w:szCs w:val="22"/>
        </w:rPr>
        <w:t>5%</w:t>
      </w:r>
      <w:r>
        <w:rPr>
          <w:rFonts w:hint="eastAsia" w:ascii="仿宋_GB2312" w:eastAsia="仿宋_GB2312"/>
          <w:sz w:val="22"/>
          <w:szCs w:val="22"/>
        </w:rPr>
        <w:t>的人员可享1</w:t>
      </w:r>
      <w:r>
        <w:rPr>
          <w:rFonts w:ascii="仿宋_GB2312" w:eastAsia="仿宋_GB2312"/>
          <w:sz w:val="22"/>
          <w:szCs w:val="22"/>
        </w:rPr>
        <w:t>.5-2.5</w:t>
      </w:r>
      <w:r>
        <w:rPr>
          <w:rFonts w:hint="eastAsia" w:ascii="仿宋_GB2312" w:eastAsia="仿宋_GB2312"/>
          <w:sz w:val="22"/>
          <w:szCs w:val="22"/>
        </w:rPr>
        <w:t>万元/年激励；</w:t>
      </w:r>
    </w:p>
    <w:p>
      <w:pPr>
        <w:tabs>
          <w:tab w:val="left" w:pos="1080"/>
        </w:tabs>
        <w:spacing w:line="360" w:lineRule="auto"/>
        <w:ind w:firstLine="440" w:firstLineChars="200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③ 优秀后备人才，根据考察鉴定等级可享3-8万元/年激励。</w:t>
      </w:r>
    </w:p>
    <w:p>
      <w:pPr>
        <w:tabs>
          <w:tab w:val="left" w:pos="1080"/>
        </w:tabs>
        <w:spacing w:line="360" w:lineRule="auto"/>
        <w:ind w:firstLine="220" w:firstLineChars="100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（2）评优激励：最美员工、扬农工匠、公司标兵、优秀职工、优秀班长、优秀新员工等。</w:t>
      </w:r>
    </w:p>
    <w:p>
      <w:pPr>
        <w:tabs>
          <w:tab w:val="left" w:pos="1080"/>
        </w:tabs>
        <w:spacing w:line="360" w:lineRule="auto"/>
        <w:ind w:firstLine="220" w:firstLineChars="100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（</w:t>
      </w:r>
      <w:r>
        <w:rPr>
          <w:rFonts w:ascii="仿宋_GB2312" w:eastAsia="仿宋_GB2312"/>
          <w:sz w:val="22"/>
          <w:szCs w:val="22"/>
        </w:rPr>
        <w:t>3</w:t>
      </w:r>
      <w:r>
        <w:rPr>
          <w:rFonts w:hint="eastAsia" w:ascii="仿宋_GB2312" w:eastAsia="仿宋_GB2312"/>
          <w:sz w:val="22"/>
          <w:szCs w:val="22"/>
        </w:rPr>
        <w:t>）人才政策激励：绩优员工可享受当地人才部门单独发放的各类人才奖励及购房补贴（以政策为准）。</w:t>
      </w:r>
    </w:p>
    <w:p>
      <w:pPr>
        <w:tabs>
          <w:tab w:val="left" w:pos="1080"/>
        </w:tabs>
        <w:spacing w:line="360" w:lineRule="auto"/>
        <w:rPr>
          <w:rFonts w:ascii="仿宋_GB2312" w:eastAsia="仿宋_GB2312"/>
          <w:b/>
          <w:sz w:val="22"/>
          <w:szCs w:val="22"/>
        </w:rPr>
      </w:pPr>
      <w:r>
        <w:rPr>
          <w:rFonts w:hint="eastAsia" w:ascii="仿宋_GB2312" w:eastAsia="仿宋_GB2312"/>
          <w:b/>
          <w:sz w:val="22"/>
          <w:szCs w:val="22"/>
        </w:rPr>
        <w:t>3、福利政策：</w:t>
      </w:r>
    </w:p>
    <w:p>
      <w:pPr>
        <w:tabs>
          <w:tab w:val="left" w:pos="1080"/>
        </w:tabs>
        <w:snapToGrid w:val="0"/>
        <w:spacing w:after="100" w:line="360" w:lineRule="auto"/>
        <w:ind w:firstLine="220" w:firstLineChars="100"/>
        <w:contextualSpacing/>
        <w:rPr>
          <w:rFonts w:ascii="仿宋" w:hAnsi="仿宋" w:eastAsia="仿宋" w:cs="宋体"/>
          <w:sz w:val="22"/>
          <w:szCs w:val="22"/>
        </w:rPr>
      </w:pPr>
      <w:r>
        <w:rPr>
          <w:rFonts w:hint="eastAsia" w:ascii="仿宋" w:hAnsi="仿宋" w:eastAsia="仿宋" w:cs="宋体"/>
          <w:sz w:val="22"/>
          <w:szCs w:val="22"/>
        </w:rPr>
        <w:t>（1）六险二金：社保（五险）、补充医疗保险、企业年金、住房公积金（含个人部分最高享受3</w:t>
      </w:r>
      <w:r>
        <w:rPr>
          <w:rFonts w:ascii="仿宋" w:hAnsi="仿宋" w:eastAsia="仿宋" w:cs="宋体"/>
          <w:sz w:val="22"/>
          <w:szCs w:val="22"/>
        </w:rPr>
        <w:t>8</w:t>
      </w:r>
      <w:r>
        <w:rPr>
          <w:rFonts w:hint="eastAsia" w:ascii="仿宋" w:hAnsi="仿宋" w:eastAsia="仿宋" w:cs="宋体"/>
          <w:sz w:val="22"/>
          <w:szCs w:val="22"/>
        </w:rPr>
        <w:t>%）；</w:t>
      </w:r>
    </w:p>
    <w:p>
      <w:pPr>
        <w:tabs>
          <w:tab w:val="left" w:pos="1080"/>
        </w:tabs>
        <w:snapToGrid w:val="0"/>
        <w:spacing w:after="100" w:line="360" w:lineRule="auto"/>
        <w:ind w:firstLine="220" w:firstLineChars="100"/>
        <w:contextualSpacing/>
        <w:rPr>
          <w:rFonts w:ascii="仿宋" w:hAnsi="仿宋" w:eastAsia="仿宋" w:cs="宋体"/>
          <w:sz w:val="22"/>
          <w:szCs w:val="22"/>
        </w:rPr>
      </w:pPr>
      <w:r>
        <w:rPr>
          <w:rFonts w:hint="eastAsia" w:ascii="仿宋" w:hAnsi="仿宋" w:eastAsia="仿宋" w:cs="宋体"/>
          <w:sz w:val="22"/>
          <w:szCs w:val="22"/>
        </w:rPr>
        <w:t>（2）购房：优秀员工最高可提供1</w:t>
      </w:r>
      <w:r>
        <w:rPr>
          <w:rFonts w:ascii="仿宋" w:hAnsi="仿宋" w:eastAsia="仿宋" w:cs="宋体"/>
          <w:sz w:val="22"/>
          <w:szCs w:val="22"/>
        </w:rPr>
        <w:t>8</w:t>
      </w:r>
      <w:r>
        <w:rPr>
          <w:rFonts w:hint="eastAsia" w:ascii="仿宋" w:hAnsi="仿宋" w:eastAsia="仿宋" w:cs="宋体"/>
          <w:sz w:val="22"/>
          <w:szCs w:val="22"/>
        </w:rPr>
        <w:t>万元无息购房首付借款；</w:t>
      </w:r>
      <w:r>
        <w:rPr>
          <w:rFonts w:ascii="仿宋" w:hAnsi="仿宋" w:eastAsia="仿宋" w:cs="宋体"/>
          <w:sz w:val="22"/>
          <w:szCs w:val="22"/>
        </w:rPr>
        <w:t xml:space="preserve"> </w:t>
      </w:r>
    </w:p>
    <w:p>
      <w:pPr>
        <w:tabs>
          <w:tab w:val="left" w:pos="1080"/>
        </w:tabs>
        <w:snapToGrid w:val="0"/>
        <w:spacing w:after="100" w:line="360" w:lineRule="auto"/>
        <w:ind w:firstLine="220" w:firstLineChars="100"/>
        <w:contextualSpacing/>
        <w:rPr>
          <w:rFonts w:ascii="仿宋" w:hAnsi="仿宋" w:eastAsia="仿宋" w:cs="宋体"/>
          <w:sz w:val="22"/>
          <w:szCs w:val="22"/>
        </w:rPr>
      </w:pPr>
      <w:r>
        <w:rPr>
          <w:rFonts w:hint="eastAsia" w:ascii="仿宋" w:hAnsi="仿宋" w:eastAsia="仿宋" w:cs="宋体"/>
          <w:sz w:val="22"/>
          <w:szCs w:val="22"/>
        </w:rPr>
        <w:t>（</w:t>
      </w:r>
      <w:r>
        <w:rPr>
          <w:rFonts w:ascii="仿宋" w:hAnsi="仿宋" w:eastAsia="仿宋" w:cs="宋体"/>
          <w:sz w:val="22"/>
          <w:szCs w:val="22"/>
        </w:rPr>
        <w:t>3</w:t>
      </w:r>
      <w:r>
        <w:rPr>
          <w:rFonts w:hint="eastAsia" w:ascii="仿宋" w:hAnsi="仿宋" w:eastAsia="仿宋" w:cs="宋体"/>
          <w:sz w:val="22"/>
          <w:szCs w:val="22"/>
        </w:rPr>
        <w:t>）福利：高温津贴、节日福利、健康体检、生日庆贺等；</w:t>
      </w:r>
    </w:p>
    <w:p>
      <w:pPr>
        <w:tabs>
          <w:tab w:val="left" w:pos="1080"/>
        </w:tabs>
        <w:snapToGrid w:val="0"/>
        <w:spacing w:after="100" w:line="360" w:lineRule="auto"/>
        <w:ind w:firstLine="220" w:firstLineChars="100"/>
        <w:contextualSpacing/>
        <w:rPr>
          <w:rFonts w:ascii="仿宋" w:hAnsi="仿宋" w:eastAsia="仿宋" w:cs="宋体"/>
          <w:sz w:val="22"/>
          <w:szCs w:val="22"/>
        </w:rPr>
      </w:pPr>
      <w:r>
        <w:rPr>
          <w:rFonts w:hint="eastAsia" w:ascii="仿宋" w:hAnsi="仿宋" w:eastAsia="仿宋" w:cs="宋体"/>
          <w:sz w:val="22"/>
          <w:szCs w:val="22"/>
        </w:rPr>
        <w:t>（</w:t>
      </w:r>
      <w:r>
        <w:rPr>
          <w:rFonts w:ascii="仿宋" w:hAnsi="仿宋" w:eastAsia="仿宋" w:cs="宋体"/>
          <w:sz w:val="22"/>
          <w:szCs w:val="22"/>
        </w:rPr>
        <w:t>4</w:t>
      </w:r>
      <w:r>
        <w:rPr>
          <w:rFonts w:hint="eastAsia" w:ascii="仿宋" w:hAnsi="仿宋" w:eastAsia="仿宋" w:cs="宋体"/>
          <w:sz w:val="22"/>
          <w:szCs w:val="22"/>
        </w:rPr>
        <w:t>）后勤：提供工作餐和住宿（4人间或2人</w:t>
      </w:r>
      <w:r>
        <w:rPr>
          <w:rFonts w:ascii="仿宋" w:hAnsi="仿宋" w:eastAsia="仿宋" w:cs="宋体"/>
          <w:sz w:val="22"/>
          <w:szCs w:val="22"/>
        </w:rPr>
        <w:t>间</w:t>
      </w:r>
      <w:r>
        <w:rPr>
          <w:rFonts w:hint="eastAsia" w:ascii="仿宋" w:hAnsi="仿宋" w:eastAsia="仿宋" w:cs="宋体"/>
          <w:sz w:val="22"/>
          <w:szCs w:val="22"/>
        </w:rPr>
        <w:t>，W</w:t>
      </w:r>
      <w:r>
        <w:rPr>
          <w:rFonts w:ascii="仿宋" w:hAnsi="仿宋" w:eastAsia="仿宋" w:cs="宋体"/>
          <w:sz w:val="22"/>
          <w:szCs w:val="22"/>
        </w:rPr>
        <w:t>iFi</w:t>
      </w:r>
      <w:r>
        <w:rPr>
          <w:rFonts w:hint="eastAsia" w:ascii="仿宋" w:hAnsi="仿宋" w:eastAsia="仿宋" w:cs="宋体"/>
          <w:sz w:val="22"/>
          <w:szCs w:val="22"/>
        </w:rPr>
        <w:t>、空调、24hr热水、健身馆、桌球馆、乒乓球馆、篮球场、游泳馆、足球场均免费开放）；</w:t>
      </w:r>
    </w:p>
    <w:p>
      <w:pPr>
        <w:widowControl/>
        <w:spacing w:before="156" w:beforeLines="50" w:line="360" w:lineRule="auto"/>
        <w:jc w:val="left"/>
        <w:rPr>
          <w:rFonts w:ascii="仿宋" w:hAnsi="仿宋" w:eastAsia="仿宋" w:cs="宋体"/>
          <w:sz w:val="22"/>
          <w:szCs w:val="22"/>
        </w:rPr>
      </w:pPr>
      <w:r>
        <w:rPr>
          <w:rFonts w:hint="eastAsia" w:ascii="仿宋" w:hAnsi="仿宋" w:eastAsia="仿宋" w:cs="宋体"/>
          <w:sz w:val="22"/>
          <w:szCs w:val="22"/>
        </w:rPr>
        <w:t>（5）培训：学历提升（专升本、硕士、博士）、相关技能培训。</w:t>
      </w:r>
    </w:p>
    <w:p>
      <w:pPr>
        <w:widowControl/>
        <w:spacing w:before="156" w:beforeLines="50" w:line="360" w:lineRule="auto"/>
        <w:jc w:val="left"/>
        <w:rPr>
          <w:rFonts w:ascii="黑体" w:hAnsi="宋体" w:eastAsia="黑体" w:cs="宋体"/>
          <w:b/>
          <w:bCs/>
          <w:color w:val="333333"/>
          <w:kern w:val="0"/>
          <w:sz w:val="24"/>
        </w:rPr>
      </w:pPr>
      <w:r>
        <w:rPr>
          <w:rFonts w:hint="eastAsia" w:ascii="黑体" w:hAnsi="宋体" w:eastAsia="黑体" w:cs="宋体"/>
          <w:b/>
          <w:bCs/>
          <w:color w:val="333333"/>
          <w:kern w:val="0"/>
          <w:sz w:val="24"/>
        </w:rPr>
        <w:t>六、应聘方式</w:t>
      </w:r>
    </w:p>
    <w:p>
      <w:pPr>
        <w:tabs>
          <w:tab w:val="left" w:pos="1080"/>
        </w:tabs>
        <w:snapToGrid w:val="0"/>
        <w:spacing w:line="360" w:lineRule="auto"/>
        <w:contextualSpacing/>
        <w:rPr>
          <w:rFonts w:ascii="仿宋" w:hAnsi="仿宋" w:eastAsia="仿宋" w:cs="宋体"/>
          <w:color w:val="000000"/>
        </w:rPr>
      </w:pPr>
      <w:r>
        <w:rPr>
          <w:rFonts w:hint="eastAsia" w:ascii="仿宋" w:hAnsi="仿宋" w:eastAsia="仿宋" w:cs="宋体"/>
          <w:color w:val="000000"/>
          <w:sz w:val="22"/>
          <w:szCs w:val="22"/>
        </w:rPr>
        <w:t>1、公司邮箱：</w:t>
      </w:r>
      <w:r>
        <w:fldChar w:fldCharType="begin"/>
      </w:r>
      <w:r>
        <w:instrText xml:space="preserve"> HYPERLINK "mailto:zhaopin@yangnongchem.com" </w:instrText>
      </w:r>
      <w:r>
        <w:fldChar w:fldCharType="separate"/>
      </w:r>
      <w:r>
        <w:rPr>
          <w:rStyle w:val="7"/>
          <w:rFonts w:hint="eastAsia"/>
          <w:sz w:val="22"/>
          <w:szCs w:val="22"/>
        </w:rPr>
        <w:t>zhaopin@yangnongchem.com</w:t>
      </w:r>
      <w:r>
        <w:rPr>
          <w:rStyle w:val="7"/>
          <w:rFonts w:hint="eastAsia"/>
          <w:sz w:val="22"/>
          <w:szCs w:val="22"/>
        </w:rPr>
        <w:fldChar w:fldCharType="end"/>
      </w:r>
      <w:r>
        <w:rPr>
          <w:rFonts w:ascii="仿宋" w:hAnsi="仿宋" w:eastAsia="仿宋" w:cs="宋体"/>
          <w:color w:val="000000"/>
        </w:rPr>
        <w:t>（</w:t>
      </w:r>
      <w:r>
        <w:rPr>
          <w:rFonts w:hint="eastAsia" w:ascii="仿宋" w:hAnsi="仿宋" w:eastAsia="仿宋" w:cs="宋体"/>
          <w:color w:val="000000"/>
        </w:rPr>
        <w:t>邮件主题：学校+专业+学历+姓名+毕业年份+应聘职位</w:t>
      </w:r>
      <w:r>
        <w:rPr>
          <w:rFonts w:ascii="仿宋" w:hAnsi="仿宋" w:eastAsia="仿宋" w:cs="宋体"/>
          <w:color w:val="000000"/>
        </w:rPr>
        <w:t>）</w:t>
      </w:r>
      <w:r>
        <w:rPr>
          <w:rFonts w:hint="eastAsia" w:ascii="仿宋" w:hAnsi="仿宋" w:eastAsia="仿宋" w:cs="宋体"/>
          <w:color w:val="000000"/>
        </w:rPr>
        <w:t>；</w:t>
      </w:r>
    </w:p>
    <w:p>
      <w:pPr>
        <w:tabs>
          <w:tab w:val="left" w:pos="1080"/>
        </w:tabs>
        <w:snapToGrid w:val="0"/>
        <w:spacing w:line="360" w:lineRule="auto"/>
        <w:contextualSpacing/>
        <w:rPr>
          <w:rFonts w:ascii="仿宋" w:hAnsi="仿宋" w:eastAsia="仿宋" w:cs="宋体"/>
          <w:color w:val="000000"/>
          <w:sz w:val="22"/>
          <w:szCs w:val="22"/>
        </w:rPr>
      </w:pPr>
      <w:r>
        <w:rPr>
          <w:rFonts w:ascii="仿宋" w:hAnsi="仿宋" w:eastAsia="仿宋" w:cs="宋体"/>
          <w:color w:val="000000"/>
          <w:sz w:val="22"/>
          <w:szCs w:val="22"/>
        </w:rPr>
        <w:t>2</w:t>
      </w:r>
      <w:r>
        <w:rPr>
          <w:rFonts w:hint="eastAsia" w:ascii="仿宋" w:hAnsi="仿宋" w:eastAsia="仿宋" w:cs="宋体"/>
          <w:color w:val="000000"/>
          <w:sz w:val="22"/>
          <w:szCs w:val="22"/>
        </w:rPr>
        <w:t>、二维码：</w:t>
      </w:r>
    </w:p>
    <w:p>
      <w:pPr>
        <w:widowControl/>
        <w:spacing w:before="156" w:beforeLines="50" w:line="360" w:lineRule="auto"/>
        <w:jc w:val="center"/>
        <w:rPr>
          <w:rFonts w:ascii="黑体" w:hAnsi="宋体" w:eastAsia="黑体" w:cs="宋体"/>
          <w:b/>
          <w:bCs/>
          <w:color w:val="333333"/>
          <w:kern w:val="0"/>
          <w:sz w:val="24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1701800" cy="1701800"/>
            <wp:effectExtent l="0" t="0" r="0" b="0"/>
            <wp:docPr id="5" name="图片 5" descr="C:\Users\lumin\AppData\Local\Temp\WeChat Files\d180e5073b42177415bb788ed3414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umin\AppData\Local\Temp\WeChat Files\d180e5073b42177415bb788ed3414b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line="360" w:lineRule="auto"/>
        <w:jc w:val="left"/>
        <w:rPr>
          <w:rFonts w:ascii="黑体" w:hAnsi="宋体" w:eastAsia="黑体" w:cs="宋体"/>
          <w:b/>
          <w:bCs/>
          <w:color w:val="333333"/>
          <w:kern w:val="0"/>
          <w:sz w:val="24"/>
        </w:rPr>
      </w:pPr>
      <w:r>
        <w:rPr>
          <w:rFonts w:hint="eastAsia" w:ascii="黑体" w:hAnsi="宋体" w:eastAsia="黑体" w:cs="宋体"/>
          <w:b/>
          <w:bCs/>
          <w:color w:val="333333"/>
          <w:kern w:val="0"/>
          <w:sz w:val="24"/>
        </w:rPr>
        <w:t>七、联系方式</w:t>
      </w:r>
    </w:p>
    <w:p>
      <w:pPr>
        <w:spacing w:line="360" w:lineRule="auto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联系人：徐文秀/陆敏　</w:t>
      </w:r>
    </w:p>
    <w:p>
      <w:pPr>
        <w:spacing w:line="360" w:lineRule="auto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手　机：15651350835</w:t>
      </w:r>
      <w:r>
        <w:rPr>
          <w:rFonts w:ascii="仿宋_GB2312" w:eastAsia="仿宋_GB2312"/>
          <w:sz w:val="22"/>
          <w:szCs w:val="22"/>
        </w:rPr>
        <w:t>/18252527162</w:t>
      </w:r>
    </w:p>
    <w:p>
      <w:pPr>
        <w:spacing w:line="360" w:lineRule="auto"/>
        <w:rPr>
          <w:rFonts w:ascii="仿宋_GB2312" w:eastAsia="仿宋_GB2312"/>
          <w:sz w:val="22"/>
          <w:szCs w:val="22"/>
        </w:rPr>
      </w:pPr>
      <w:r>
        <w:rPr>
          <w:rFonts w:hint="eastAsia" w:ascii="仿宋_GB2312" w:eastAsia="仿宋_GB2312"/>
          <w:sz w:val="22"/>
          <w:szCs w:val="22"/>
        </w:rPr>
        <w:t>招聘专线：0514-85889988　</w:t>
      </w:r>
    </w:p>
    <w:p>
      <w:pPr>
        <w:pStyle w:val="4"/>
        <w:spacing w:line="360" w:lineRule="auto"/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公司网址：</w:t>
      </w:r>
      <w:r>
        <w:fldChar w:fldCharType="begin"/>
      </w:r>
      <w:r>
        <w:instrText xml:space="preserve"> HYPERLINK "http://www.yangnongchem.com" </w:instrText>
      </w:r>
      <w:r>
        <w:fldChar w:fldCharType="separate"/>
      </w:r>
      <w:r>
        <w:rPr>
          <w:rStyle w:val="7"/>
          <w:sz w:val="22"/>
          <w:szCs w:val="22"/>
        </w:rPr>
        <w:t>www.yangnongchem.com</w:t>
      </w:r>
      <w:r>
        <w:rPr>
          <w:rStyle w:val="7"/>
          <w:sz w:val="22"/>
          <w:szCs w:val="22"/>
        </w:rPr>
        <w:fldChar w:fldCharType="end"/>
      </w:r>
    </w:p>
    <w:p>
      <w:pPr>
        <w:pStyle w:val="4"/>
        <w:spacing w:line="360" w:lineRule="auto"/>
        <w:ind w:firstLine="0" w:firstLineChars="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总公司：江苏扬农化工股份有限公司</w:t>
      </w:r>
    </w:p>
    <w:p>
      <w:pPr>
        <w:pStyle w:val="4"/>
        <w:spacing w:line="360" w:lineRule="auto"/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注册地址：江苏省扬州市文峰路39号</w:t>
      </w:r>
    </w:p>
    <w:p>
      <w:pPr>
        <w:pStyle w:val="4"/>
        <w:spacing w:line="360" w:lineRule="auto"/>
        <w:ind w:firstLine="0" w:firstLineChars="0"/>
        <w:rPr>
          <w:sz w:val="22"/>
          <w:szCs w:val="22"/>
        </w:rPr>
      </w:pPr>
      <w:r>
        <w:rPr>
          <w:rFonts w:ascii="Helvetica" w:hAnsi="Helvetica"/>
          <w:color w:val="585858"/>
          <w:shd w:val="clear" w:color="auto" w:fill="FFFFFF"/>
        </w:rPr>
        <w:t>办公地址：江苏省扬州市邗江区创新路高新区规划馆 扬农股份</w:t>
      </w:r>
    </w:p>
    <w:p>
      <w:pPr>
        <w:pStyle w:val="4"/>
        <w:spacing w:line="360" w:lineRule="auto"/>
        <w:ind w:firstLine="0" w:firstLineChars="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子公司（江苏优士化学有限公司）</w:t>
      </w:r>
    </w:p>
    <w:p>
      <w:pPr>
        <w:pStyle w:val="4"/>
        <w:spacing w:line="360" w:lineRule="auto"/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地址：江苏省仪征市大连路3号（扬州化学工业园区）</w:t>
      </w:r>
    </w:p>
    <w:p>
      <w:pPr>
        <w:pStyle w:val="4"/>
        <w:spacing w:line="360" w:lineRule="auto"/>
        <w:ind w:firstLine="0" w:firstLineChars="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子公司（江苏优嘉植物保护有限公司）</w:t>
      </w:r>
    </w:p>
    <w:p>
      <w:pPr>
        <w:pStyle w:val="4"/>
        <w:spacing w:line="360" w:lineRule="auto"/>
        <w:ind w:firstLine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地址：江苏省如东县沿海经济开发区通海五路</w:t>
      </w:r>
    </w:p>
    <w:p>
      <w:pPr>
        <w:snapToGrid w:val="0"/>
        <w:spacing w:line="360" w:lineRule="auto"/>
        <w:contextualSpacing/>
        <w:rPr>
          <w:rFonts w:hint="eastAsia" w:ascii="微软雅黑" w:hAnsi="微软雅黑" w:eastAsia="微软雅黑"/>
          <w:lang w:eastAsia="zh-CN"/>
        </w:rPr>
      </w:pPr>
      <w:bookmarkStart w:id="0" w:name="_GoBack"/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3441065" cy="8712200"/>
            <wp:effectExtent l="0" t="0" r="6985" b="12700"/>
            <wp:docPr id="6" name="图片 6" descr="8d9dfdc7d57b44fc9d4339b7d1e0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9dfdc7d57b44fc9d4339b7d1e0a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6111240" cy="8148320"/>
            <wp:effectExtent l="0" t="0" r="3810" b="5080"/>
            <wp:docPr id="4" name="图片 4" descr="3f67caa3342808e4f06f9c8546ba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67caa3342808e4f06f9c8546ba6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</w:pPr>
    <w:r>
      <w:drawing>
        <wp:inline distT="0" distB="0" distL="0" distR="0">
          <wp:extent cx="2844165" cy="662940"/>
          <wp:effectExtent l="0" t="0" r="0" b="3810"/>
          <wp:docPr id="2" name="图片 2" descr="C:\Users\wuyuzhuo\AppData\Local\Temp\WeChat Files\e144d480d5c493d204f7cdc0359196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wuyuzhuo\AppData\Local\Temp\WeChat Files\e144d480d5c493d204f7cdc0359196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1609" cy="671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drawing>
        <wp:inline distT="0" distB="0" distL="0" distR="0">
          <wp:extent cx="1676400" cy="690245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5297" cy="702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F2220"/>
    <w:multiLevelType w:val="multilevel"/>
    <w:tmpl w:val="087F2220"/>
    <w:lvl w:ilvl="0" w:tentative="0">
      <w:start w:val="5"/>
      <w:numFmt w:val="japaneseCounting"/>
      <w:lvlText w:val="%1、"/>
      <w:lvlJc w:val="left"/>
      <w:pPr>
        <w:ind w:left="504" w:hanging="504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dhNDI5Y2UxNzhjNGQwMjhkOGI0YWUxZjVlMTlkMDkifQ=="/>
  </w:docVars>
  <w:rsids>
    <w:rsidRoot w:val="007E1F94"/>
    <w:rsid w:val="00064554"/>
    <w:rsid w:val="000A3B74"/>
    <w:rsid w:val="000B4EDD"/>
    <w:rsid w:val="000D34A0"/>
    <w:rsid w:val="000F04A5"/>
    <w:rsid w:val="00100882"/>
    <w:rsid w:val="0011411B"/>
    <w:rsid w:val="001F5045"/>
    <w:rsid w:val="002060F1"/>
    <w:rsid w:val="002071FD"/>
    <w:rsid w:val="0022471D"/>
    <w:rsid w:val="00234F7A"/>
    <w:rsid w:val="002671D9"/>
    <w:rsid w:val="0029409D"/>
    <w:rsid w:val="003023F9"/>
    <w:rsid w:val="003479DB"/>
    <w:rsid w:val="00364EC0"/>
    <w:rsid w:val="00380616"/>
    <w:rsid w:val="003A6F23"/>
    <w:rsid w:val="003B0D88"/>
    <w:rsid w:val="003B1860"/>
    <w:rsid w:val="003E7453"/>
    <w:rsid w:val="004207EE"/>
    <w:rsid w:val="00453A30"/>
    <w:rsid w:val="00470D54"/>
    <w:rsid w:val="004D52AB"/>
    <w:rsid w:val="00530F35"/>
    <w:rsid w:val="005518F7"/>
    <w:rsid w:val="00556502"/>
    <w:rsid w:val="00565E16"/>
    <w:rsid w:val="005A3600"/>
    <w:rsid w:val="005A4978"/>
    <w:rsid w:val="005B0645"/>
    <w:rsid w:val="00611733"/>
    <w:rsid w:val="0061599F"/>
    <w:rsid w:val="006465BA"/>
    <w:rsid w:val="006666F4"/>
    <w:rsid w:val="006672EE"/>
    <w:rsid w:val="006862A1"/>
    <w:rsid w:val="006A6F0C"/>
    <w:rsid w:val="006F6E36"/>
    <w:rsid w:val="00701E58"/>
    <w:rsid w:val="00706DE6"/>
    <w:rsid w:val="00710087"/>
    <w:rsid w:val="007309DF"/>
    <w:rsid w:val="00730F2B"/>
    <w:rsid w:val="00736CD8"/>
    <w:rsid w:val="0075709A"/>
    <w:rsid w:val="007B5110"/>
    <w:rsid w:val="007B6A27"/>
    <w:rsid w:val="007E1F94"/>
    <w:rsid w:val="00804486"/>
    <w:rsid w:val="00831F2F"/>
    <w:rsid w:val="0087358C"/>
    <w:rsid w:val="00891411"/>
    <w:rsid w:val="00896C45"/>
    <w:rsid w:val="008C5690"/>
    <w:rsid w:val="008D39C1"/>
    <w:rsid w:val="009379F6"/>
    <w:rsid w:val="009604C7"/>
    <w:rsid w:val="00960B6C"/>
    <w:rsid w:val="009A1EF7"/>
    <w:rsid w:val="009A3130"/>
    <w:rsid w:val="009B09E8"/>
    <w:rsid w:val="009E1F51"/>
    <w:rsid w:val="009F4F14"/>
    <w:rsid w:val="009F795C"/>
    <w:rsid w:val="00A15298"/>
    <w:rsid w:val="00A16276"/>
    <w:rsid w:val="00A17B7E"/>
    <w:rsid w:val="00B26F26"/>
    <w:rsid w:val="00B301BB"/>
    <w:rsid w:val="00B4600C"/>
    <w:rsid w:val="00B64FDA"/>
    <w:rsid w:val="00B73D35"/>
    <w:rsid w:val="00B75D06"/>
    <w:rsid w:val="00B77A12"/>
    <w:rsid w:val="00B97DA4"/>
    <w:rsid w:val="00BB41FD"/>
    <w:rsid w:val="00BB5C70"/>
    <w:rsid w:val="00C24125"/>
    <w:rsid w:val="00C25223"/>
    <w:rsid w:val="00C279A5"/>
    <w:rsid w:val="00C33B2A"/>
    <w:rsid w:val="00C50DCD"/>
    <w:rsid w:val="00C62AFA"/>
    <w:rsid w:val="00C77E6F"/>
    <w:rsid w:val="00C827B0"/>
    <w:rsid w:val="00CA2267"/>
    <w:rsid w:val="00CC1C3A"/>
    <w:rsid w:val="00CC540E"/>
    <w:rsid w:val="00CD0EBE"/>
    <w:rsid w:val="00CE47C5"/>
    <w:rsid w:val="00CF081D"/>
    <w:rsid w:val="00D07125"/>
    <w:rsid w:val="00D20EF8"/>
    <w:rsid w:val="00D32721"/>
    <w:rsid w:val="00D44925"/>
    <w:rsid w:val="00D83990"/>
    <w:rsid w:val="00E06470"/>
    <w:rsid w:val="00E3628A"/>
    <w:rsid w:val="00E370E8"/>
    <w:rsid w:val="00EE7851"/>
    <w:rsid w:val="00EF4480"/>
    <w:rsid w:val="00F00EF0"/>
    <w:rsid w:val="00F24AC6"/>
    <w:rsid w:val="00F27A8A"/>
    <w:rsid w:val="00F520CD"/>
    <w:rsid w:val="00F52951"/>
    <w:rsid w:val="00F822B3"/>
    <w:rsid w:val="00F84E05"/>
    <w:rsid w:val="00F91BD1"/>
    <w:rsid w:val="00F95FF8"/>
    <w:rsid w:val="00FA04A5"/>
    <w:rsid w:val="00FB4563"/>
    <w:rsid w:val="00FF6CE8"/>
    <w:rsid w:val="6665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nhideWhenUsed="0" w:uiPriority="0" w:semiHidden="0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Body Text Indent 3"/>
    <w:basedOn w:val="1"/>
    <w:link w:val="11"/>
    <w:uiPriority w:val="0"/>
    <w:pPr>
      <w:spacing w:line="460" w:lineRule="exact"/>
      <w:ind w:firstLine="461" w:firstLineChars="192"/>
    </w:pPr>
    <w:rPr>
      <w:rFonts w:ascii="仿宋_GB2312" w:eastAsia="仿宋_GB2312"/>
      <w:sz w:val="24"/>
    </w:rPr>
  </w:style>
  <w:style w:type="character" w:styleId="7">
    <w:name w:val="Hyperlink"/>
    <w:uiPriority w:val="0"/>
    <w:rPr>
      <w:rFonts w:cs="Times New Roman"/>
      <w:color w:val="0000FF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正文文本缩进 3 字符"/>
    <w:basedOn w:val="6"/>
    <w:link w:val="4"/>
    <w:qFormat/>
    <w:uiPriority w:val="0"/>
    <w:rPr>
      <w:rFonts w:ascii="仿宋_GB2312" w:hAnsi="Times New Roman" w:eastAsia="仿宋_GB2312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0621-AC4E-405D-9DB4-6A86D739F0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1176</Words>
  <Characters>1329</Characters>
  <Lines>10</Lines>
  <Paragraphs>2</Paragraphs>
  <TotalTime>66</TotalTime>
  <ScaleCrop>false</ScaleCrop>
  <LinksUpToDate>false</LinksUpToDate>
  <CharactersWithSpaces>1338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2022-09-02T10:37:00Z</dcterms:created>
  <dc:creator>吴予卓(Wu Yuzhuo 中化作物)</dc:creator>
  <cp:lastModifiedBy>DELL</cp:lastModifiedBy>
  <dcterms:modified xsi:type="dcterms:W3CDTF">2022-10-26T07:38:19Z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71ABD98E948C437FB23E994D8A48CE71</vt:lpwstr>
  </property>
</Properties>
</file>